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352DA">
      <w:pPr>
        <w:spacing w:line="600" w:lineRule="exact"/>
        <w:ind w:left="-36" w:leftChars="-17" w:right="-147" w:rightChars="-70" w:firstLine="28" w:firstLineChars="9"/>
        <w:rPr>
          <w:rFonts w:ascii="黑体" w:hAnsi="黑体" w:eastAsia="黑体" w:cs="Times New Roman"/>
          <w:sz w:val="32"/>
          <w:szCs w:val="32"/>
        </w:rPr>
      </w:pPr>
      <w:bookmarkStart w:id="0" w:name="OLE_LINK8"/>
      <w:bookmarkStart w:id="1" w:name="OLE_LINK9"/>
      <w:bookmarkStart w:id="16" w:name="_GoBack"/>
      <w:bookmarkEnd w:id="16"/>
      <w:r>
        <w:rPr>
          <w:rFonts w:hint="eastAsia" w:ascii="黑体" w:hAnsi="黑体" w:eastAsia="黑体" w:cs="Times New Roman"/>
          <w:sz w:val="32"/>
          <w:szCs w:val="32"/>
        </w:rPr>
        <w:t>附件</w:t>
      </w:r>
    </w:p>
    <w:p w14:paraId="2C6D863F">
      <w:pPr>
        <w:pStyle w:val="2"/>
        <w:spacing w:line="600" w:lineRule="exact"/>
      </w:pPr>
    </w:p>
    <w:p w14:paraId="0BBE496B">
      <w:pPr>
        <w:spacing w:line="600" w:lineRule="exact"/>
        <w:ind w:left="-36" w:leftChars="-17" w:right="-147" w:rightChars="-70" w:firstLine="39" w:firstLineChars="9"/>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影像型超声诊断设备（第三类）注册审查</w:t>
      </w:r>
    </w:p>
    <w:p w14:paraId="1E1347A5">
      <w:pPr>
        <w:spacing w:line="600" w:lineRule="exact"/>
        <w:ind w:left="-36" w:leftChars="-17" w:right="-147" w:rightChars="-70" w:firstLine="39" w:firstLineChars="9"/>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指导原则（</w:t>
      </w:r>
      <w:r>
        <w:rPr>
          <w:rFonts w:ascii="方正小标宋简体" w:hAnsi="Times New Roman" w:eastAsia="方正小标宋简体" w:cs="Times New Roman"/>
          <w:sz w:val="44"/>
          <w:szCs w:val="44"/>
        </w:rPr>
        <w:t>2023</w:t>
      </w:r>
      <w:r>
        <w:rPr>
          <w:rFonts w:hint="eastAsia" w:ascii="方正小标宋简体" w:hAnsi="Times New Roman" w:eastAsia="方正小标宋简体" w:cs="Times New Roman"/>
          <w:sz w:val="44"/>
          <w:szCs w:val="44"/>
        </w:rPr>
        <w:t>年修订版）</w:t>
      </w:r>
    </w:p>
    <w:p w14:paraId="64B03A23">
      <w:pPr>
        <w:spacing w:line="600" w:lineRule="exact"/>
        <w:ind w:firstLine="640" w:firstLineChars="200"/>
        <w:jc w:val="center"/>
        <w:rPr>
          <w:rFonts w:ascii="Times New Roman" w:hAnsi="Times New Roman" w:eastAsia="仿宋_GB2312" w:cs="Times New Roman"/>
          <w:kern w:val="0"/>
          <w:sz w:val="32"/>
          <w:szCs w:val="32"/>
        </w:rPr>
      </w:pPr>
    </w:p>
    <w:p w14:paraId="57B34F91">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本指导原则旨在指导注册申请人对</w:t>
      </w:r>
      <w:r>
        <w:rPr>
          <w:rFonts w:ascii="Times New Roman" w:hAnsi="Times New Roman" w:eastAsia="仿宋_GB2312" w:cs="Times New Roman"/>
          <w:bCs/>
          <w:sz w:val="32"/>
          <w:szCs w:val="32"/>
        </w:rPr>
        <w:t>影像型超声诊断设备（第三类）</w:t>
      </w:r>
      <w:r>
        <w:rPr>
          <w:rFonts w:ascii="Times New Roman" w:hAnsi="Times New Roman" w:eastAsia="仿宋_GB2312" w:cs="Times New Roman"/>
          <w:kern w:val="0"/>
          <w:sz w:val="32"/>
          <w:szCs w:val="32"/>
        </w:rPr>
        <w:t>注册申报资料的准备及撰写，同时也为技术审评部门审评注册申报资料提供参考。</w:t>
      </w:r>
    </w:p>
    <w:p w14:paraId="15005B60">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本指导原则是对</w:t>
      </w:r>
      <w:r>
        <w:rPr>
          <w:rFonts w:ascii="Times New Roman" w:hAnsi="Times New Roman" w:eastAsia="仿宋_GB2312" w:cs="Times New Roman"/>
          <w:bCs/>
          <w:sz w:val="32"/>
          <w:szCs w:val="32"/>
        </w:rPr>
        <w:t>影像型超声诊断设备（第三类）</w:t>
      </w:r>
      <w:r>
        <w:rPr>
          <w:rFonts w:ascii="Times New Roman" w:hAnsi="Times New Roman" w:eastAsia="仿宋_GB2312" w:cs="Times New Roman"/>
          <w:kern w:val="0"/>
          <w:sz w:val="32"/>
          <w:szCs w:val="32"/>
        </w:rPr>
        <w:t>的一般要求，注册申请人应依据产品的具体特性确定其中内容是否适用，若不适用，需具体阐述理由及相应的科学依据，并依据产品的具体特性对注册申报资料的内容进行充实和细化。</w:t>
      </w:r>
    </w:p>
    <w:p w14:paraId="49BE225A">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供注册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1E38C48B">
      <w:pPr>
        <w:spacing w:line="52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kern w:val="0"/>
          <w:sz w:val="32"/>
          <w:szCs w:val="32"/>
        </w:rPr>
        <w:t>本指导原则是在现行法规、标准体系及当前认知水平下制定的，随着法规、标准体系的不断完善和科学技术的不断发展，本指导原则相关内容也将适时进行调整。</w:t>
      </w:r>
    </w:p>
    <w:p w14:paraId="02D8C6EA">
      <w:pPr>
        <w:spacing w:line="520" w:lineRule="exact"/>
        <w:ind w:firstLine="640" w:firstLineChars="200"/>
        <w:jc w:val="left"/>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一、适用范围</w:t>
      </w:r>
    </w:p>
    <w:p w14:paraId="5153BE3F">
      <w:pPr>
        <w:spacing w:line="520" w:lineRule="exact"/>
        <w:ind w:firstLine="63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适用于第三类影像型超声诊断设备的注册申报，包括超声脉冲回波成像设备，分类编码06-07-01；超声回波多普勒成像设备，分类编码06-07-02；超声探头，分类编码06-08-04；超声电子内窥镜06-17-04。不包括血管内超声系统（IVUS）和眼科超声诊断设备。第二类影像型超声诊断设备中的彩色多普勒血流成像系统，可参照本指导原则中适用的部分。</w:t>
      </w:r>
    </w:p>
    <w:p w14:paraId="14B65C6B">
      <w:pPr>
        <w:spacing w:line="520" w:lineRule="exact"/>
        <w:ind w:firstLine="640" w:firstLineChars="200"/>
        <w:jc w:val="left"/>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二、注册审查要点</w:t>
      </w:r>
    </w:p>
    <w:p w14:paraId="33044412">
      <w:pPr>
        <w:spacing w:line="520" w:lineRule="exact"/>
        <w:ind w:firstLine="640" w:firstLineChars="200"/>
        <w:jc w:val="left"/>
        <w:outlineLvl w:val="1"/>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（一）监管信息</w:t>
      </w:r>
    </w:p>
    <w:p w14:paraId="45B44027">
      <w:pPr>
        <w:pStyle w:val="414"/>
        <w:spacing w:line="520" w:lineRule="exact"/>
        <w:outlineLvl w:val="2"/>
      </w:pPr>
      <w:r>
        <w:t>1.产品名称</w:t>
      </w:r>
    </w:p>
    <w:p w14:paraId="2F0DFB4D">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按照《医疗器械通用名称命名规则》并参考《医疗器械通用名称命名指导原则》和《医用成像器械通用名称命名指导原则》明确产品名称，如彩色多普勒超声诊断系统、超声诊断设备等。</w:t>
      </w:r>
    </w:p>
    <w:p w14:paraId="466E785D">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仅用于通过内窥镜器械通道进入人体的超声诊断设备的产品名称可采用：内窥镜用超声诊断设备、内窥镜用超声探头等。</w:t>
      </w:r>
    </w:p>
    <w:p w14:paraId="170C54E4">
      <w:pPr>
        <w:pStyle w:val="414"/>
        <w:spacing w:line="520" w:lineRule="exact"/>
        <w:outlineLvl w:val="2"/>
      </w:pPr>
      <w:r>
        <w:t>2.分类编码</w:t>
      </w:r>
    </w:p>
    <w:p w14:paraId="4F215EC8">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依据《医疗器械分类目录》，产品三级分类编码为06-07-01、06-07-02、06-08-04、06-17-04。</w:t>
      </w:r>
    </w:p>
    <w:p w14:paraId="4E3E0216">
      <w:pPr>
        <w:pStyle w:val="414"/>
        <w:spacing w:line="520" w:lineRule="exact"/>
        <w:outlineLvl w:val="2"/>
      </w:pPr>
      <w:r>
        <w:t>3.注册单元划分</w:t>
      </w:r>
    </w:p>
    <w:p w14:paraId="3BE2E141">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软件平台相同，硬件平台结构相似，外形结构相似，设备配备的超声探头（换能器）类型基本类似，主要性能指标相近，但在产品功能和外观布局上存在一定差异，其他所有型号产品在成像模式/工作模式、产品组成和功能上基本为某一型号的子集，这些型号的产品可作为一个注册单元。</w:t>
      </w:r>
    </w:p>
    <w:p w14:paraId="77B2F69C">
      <w:pPr>
        <w:pStyle w:val="414"/>
        <w:spacing w:line="520" w:lineRule="exact"/>
        <w:outlineLvl w:val="2"/>
      </w:pPr>
      <w:r>
        <w:t>4.检测单元划分</w:t>
      </w:r>
    </w:p>
    <w:p w14:paraId="27ABBA9B">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对于同一个注册单元，可以划分为不同的检测单元。</w:t>
      </w:r>
    </w:p>
    <w:p w14:paraId="02229093">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对相同类型的设备，按照下列原则划分检测单元：</w:t>
      </w:r>
    </w:p>
    <w:p w14:paraId="0310F6BA">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4.1设备电源组件完全相同，典型型号之外的其他型号采用的工作模式种类为典型型号的子集，外形结构相似，设备配备的显示器基本类似，典型型号之外的其他型号的超声探头类型为典型型号的子集，主要性能指标相近，仅在产品功能和外观布局上存在一定差异的系列设备，可划分为同一检测单元；</w:t>
      </w:r>
    </w:p>
    <w:p w14:paraId="3CD5EE34">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4.2设备电源组件相同，采用的工作模式种类不同，设备配备的超声探头类型存在差异，且工作模式的种类及探头类型不能作为某一产品型号所采用的工作模式或探头类型的子集，应划分为不同的检测单元；</w:t>
      </w:r>
    </w:p>
    <w:p w14:paraId="762006F1">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4.3设备电源组件相同，外形结构差异较大，应划分为不同的检测单元；</w:t>
      </w:r>
    </w:p>
    <w:p w14:paraId="45B73DBE">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4.4设备电源组件不同，应划分为不同的检测单元；</w:t>
      </w:r>
    </w:p>
    <w:p w14:paraId="21C874F9">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4.5性能试验和安全试验应包括拟申报范围内的所有型号探头。电磁兼容试验发射试验中的“传导发射”、“辐射发射”及抗扰度试验中的“静电放电”、“射频电磁场辐射”、“电快速瞬变脉冲群”、“射频场感应的传导骚扰”应至少选择每类探头中预期最不利的一个型号，发射试验中的“谐波失真”、“电压波动和闪烁”及抗扰度试验中的“浪涌”、“在电源供电输入线上的电压暂降、短时中断和电压变化”、“工频磁场”应选择预期最不利的一个代表探头。</w:t>
      </w:r>
    </w:p>
    <w:p w14:paraId="223C2ADB">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注：1.检测的型号应能覆盖同一检测单元内其他型号。应同时提交检测型号选择的原因分析。2.电磁兼容检测报告产品组成应能包含所有型号的探头。3.电磁兼容试验按照预期最不利的试验条件设置样机的运行模式。</w:t>
      </w:r>
    </w:p>
    <w:p w14:paraId="7944E873">
      <w:pPr>
        <w:pStyle w:val="413"/>
      </w:pPr>
      <w:r>
        <w:t>（二）综述资料</w:t>
      </w:r>
    </w:p>
    <w:p w14:paraId="63967C43">
      <w:pPr>
        <w:pStyle w:val="414"/>
        <w:spacing w:line="520" w:lineRule="exact"/>
        <w:outlineLvl w:val="2"/>
      </w:pPr>
      <w:r>
        <w:t>1.产品描述</w:t>
      </w:r>
    </w:p>
    <w:p w14:paraId="1F29F32E">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全面的器械组成、功能及作用原理应当包括对设备及其部件进行全面评价所需的基本信息，包含但不限于以下内容：</w:t>
      </w:r>
    </w:p>
    <w:p w14:paraId="1766A29F">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1.1整机总体构造的详细描述，包括所有组成部分，并给出有标记的图示（如图表、照片和图纸），图示应清楚地标识关键部件/组件，其中包括充分的解释来方便理解这些图示。 </w:t>
      </w:r>
    </w:p>
    <w:p w14:paraId="5779649C">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1.2对使用者可接触的所有控制装置的说明，包括：控制设置范围，缺省值（如有）。</w:t>
      </w:r>
    </w:p>
    <w:p w14:paraId="67158D03">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1.3产品工作框图（应包括所有应用部分，以及信号输入和输出部分）。</w:t>
      </w:r>
    </w:p>
    <w:p w14:paraId="40CF8BD9">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1.4应给出设备具有的物理通道数（包括发射通道数和接收通道数）。</w:t>
      </w:r>
    </w:p>
    <w:p w14:paraId="7534E2EA">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1.5所采用的声束形成器类型（全模拟、接收数字、全数字波束形成器）。</w:t>
      </w:r>
    </w:p>
    <w:p w14:paraId="08F2181B">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1.6应给出软件结构、功能的描述。</w:t>
      </w:r>
    </w:p>
    <w:p w14:paraId="4A938944">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1.7提供产品可进行的各种临床（生物学）测量的项目名称。</w:t>
      </w:r>
    </w:p>
    <w:p w14:paraId="1905DE28">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1.8设备的所有成像模式、功能（如B模式、M模式、B+M模式、脉冲多普勒模式、连续多普勒模式、组织多普勒成像模式、能量多普勒成像模式、组织谐波成像、造影谐波成像、三维成像</w:t>
      </w:r>
      <w:r>
        <w:rPr>
          <w:rFonts w:ascii="Times New Roman" w:hAnsi="Times New Roman" w:eastAsia="仿宋_GB2312" w:cs="Times New Roman"/>
          <w:sz w:val="32"/>
          <w:szCs w:val="32"/>
        </w:rPr>
        <w:t>、复合成像、静态/准静态弹性成像、剪切波弹性成像、造影成像、图像融合/导航功能</w:t>
      </w:r>
      <w:r>
        <w:rPr>
          <w:rFonts w:ascii="Times New Roman" w:hAnsi="Times New Roman" w:eastAsia="仿宋_GB2312" w:cs="Times New Roman"/>
          <w:bCs/>
          <w:sz w:val="32"/>
          <w:szCs w:val="32"/>
        </w:rPr>
        <w:t>等），对于与已在中国境内批准上市的产品之间存在显著差异的新技术、设计、功能和应用，应包括其原理和临床应用价值的介绍。</w:t>
      </w:r>
    </w:p>
    <w:p w14:paraId="54F5C8B0">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1.9特殊成像模式与功能</w:t>
      </w:r>
    </w:p>
    <w:p w14:paraId="7420F8DA">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三维成像，应描述三维成像的类别（静态三维成像、实时三维成像等）；提供探头的基本信息，如探头类型（普通一维探头、机械扫查二维探头、二维面阵探头等）、探头频率、曲率半径、俯仰方向扫查角等；描述三维重建/显示的主要信息，如扫查区域范围等；描述测量等功能；应明确临床应用的部位。</w:t>
      </w:r>
    </w:p>
    <w:p w14:paraId="2FF7B922">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对造影成像，应描述超声造影剂的通用名称（如注射用六氟化硫微泡、注射用全氟丁烷微球、注射用全氟丙烷人血白蛋白微球等）、造影成像的功能（如定量分析功能）；应明确临床应用的部位。</w:t>
      </w:r>
    </w:p>
    <w:p w14:paraId="4473A498">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对弹性成像，应描述弹性成像的类别（</w:t>
      </w:r>
      <w:r>
        <w:rPr>
          <w:rFonts w:ascii="Times New Roman" w:hAnsi="Times New Roman" w:eastAsia="仿宋_GB2312" w:cs="Times New Roman"/>
          <w:sz w:val="32"/>
          <w:szCs w:val="32"/>
        </w:rPr>
        <w:t>静态/准静态弹性成像、声辐射力脉冲成像、点剪切波弹性成像、剪切波弹性成像）</w:t>
      </w:r>
      <w:r>
        <w:rPr>
          <w:rFonts w:ascii="Times New Roman" w:hAnsi="Times New Roman" w:eastAsia="仿宋_GB2312" w:cs="Times New Roman"/>
          <w:bCs/>
          <w:sz w:val="32"/>
          <w:szCs w:val="32"/>
        </w:rPr>
        <w:t>和基本原理、显示信息/测量值的意义；应明确临床应用的部位。</w:t>
      </w:r>
    </w:p>
    <w:p w14:paraId="237E3DD4">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图像融合，应描述图像融合功能及原理、相关硬件的规格型号或技术参数、与超声图像融合的影像类型（如CT、MR、PET-CT等）、定位基本原理；描述配准方法（自动/手动）及配准算法；明确适用探头及临床应用的部位。</w:t>
      </w:r>
    </w:p>
    <w:p w14:paraId="2877ADDC">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对图像导航，应描述图像导航功能及原理、相关硬件的规格型号或技术参数、与超声图像融合的影像类型（如适用）、定位基本原理；描述配准方法（自动/手动）及配准算法；明确适用探头及临床应用的部位。</w:t>
      </w:r>
    </w:p>
    <w:p w14:paraId="1255A49F">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1.10对所有组件的全面描述，至少包括：</w:t>
      </w:r>
    </w:p>
    <w:p w14:paraId="7A99171D">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1.10.1每个探头的类型（例如，机械扇扫、平面线阵、相控阵、凸阵、环阵等）和型号；</w:t>
      </w:r>
    </w:p>
    <w:p w14:paraId="5E18ABF2">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1.10.2各探头的使用方式（如体表、腔内、术中等）；</w:t>
      </w:r>
    </w:p>
    <w:p w14:paraId="738938DB">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1.10.3探头在各单一模式和组合模式下的运行，包括但不限于：</w:t>
      </w:r>
    </w:p>
    <w:p w14:paraId="72571082">
      <w:pPr>
        <w:shd w:val="clear" w:color="auto" w:fill="FFFFFF"/>
        <w:spacing w:line="520" w:lineRule="exact"/>
        <w:ind w:firstLine="640" w:firstLineChars="200"/>
        <w:rPr>
          <w:rFonts w:ascii="Times New Roman" w:hAnsi="Times New Roman" w:eastAsia="仿宋_GB2312" w:cs="Times New Roman"/>
          <w:bCs/>
          <w:sz w:val="32"/>
          <w:szCs w:val="32"/>
        </w:rPr>
      </w:pPr>
      <w:bookmarkStart w:id="2" w:name="OLE_LINK4"/>
      <w:bookmarkStart w:id="3" w:name="OLE_LINK3"/>
      <w:bookmarkStart w:id="4" w:name="OLE_LINK5"/>
      <w:r>
        <w:rPr>
          <w:rFonts w:ascii="Times New Roman" w:hAnsi="Times New Roman" w:eastAsia="仿宋_GB2312" w:cs="Times New Roman"/>
          <w:bCs/>
          <w:sz w:val="32"/>
          <w:szCs w:val="32"/>
        </w:rPr>
        <w:t>1.10.3.1单元式探头的总体结构及换能元件和探头尺寸；</w:t>
      </w:r>
    </w:p>
    <w:p w14:paraId="11213B3F">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1.10.3.2阵列探头的总体结构、尺寸及阵元总数；</w:t>
      </w:r>
    </w:p>
    <w:p w14:paraId="42EAA8A4">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1.10.3.3单个阵元的尺寸及阵元排列方式；</w:t>
      </w:r>
    </w:p>
    <w:bookmarkEnd w:id="2"/>
    <w:bookmarkEnd w:id="3"/>
    <w:bookmarkEnd w:id="4"/>
    <w:p w14:paraId="3F5483BB">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1.10.3.4单个脉冲一次激活的最大阵元数（适用时）;</w:t>
      </w:r>
    </w:p>
    <w:p w14:paraId="284E62D8">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1.10.3.5探头的频率参数（与GB 10152中要求一致）。</w:t>
      </w:r>
    </w:p>
    <w:p w14:paraId="6232BE00">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1.10.4定性描述可以引起辐射场改变的所有操作控制，如：输出强度、脉冲重复频率、焦距、扇形开角、帧率、脉冲持续时间、扫描深度和取样区尺寸等； </w:t>
      </w:r>
    </w:p>
    <w:p w14:paraId="4FAFF56B">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1.10.5配接每一探头时的声输出公布和显示情况； </w:t>
      </w:r>
    </w:p>
    <w:p w14:paraId="2C66E788">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1.10.6所有其他应用的实现方法和临床意义（例如生理信号结合B型图像用于心脏检查）；</w:t>
      </w:r>
    </w:p>
    <w:p w14:paraId="02CD2833">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1.10.7所有附件、配件的列表；</w:t>
      </w:r>
    </w:p>
    <w:p w14:paraId="138BCD33">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1.10.8拟配合使用的设备或部件,并应对接口进行描述。</w:t>
      </w:r>
    </w:p>
    <w:p w14:paraId="754BD87F">
      <w:pPr>
        <w:pStyle w:val="414"/>
        <w:spacing w:line="520" w:lineRule="exact"/>
        <w:outlineLvl w:val="2"/>
      </w:pPr>
      <w:r>
        <w:t>2.适用范围和禁忌证</w:t>
      </w:r>
    </w:p>
    <w:p w14:paraId="79BD6F1A">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适用范围建议表述为：“在医疗机构中，用于临床超声诊断检查，各探头临床应用见产品技术要求XX。”。其中XX为技术要求相应条款号。</w:t>
      </w:r>
    </w:p>
    <w:p w14:paraId="735C3918">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如单独申报探头，应明确配用主机的厂家、型号和软件发布版本，如：该产品在医疗机构中使用，可配合XX公司的超声诊断设备（XX型号，软件发布版本XX（可选）及批准适配版本）使用，用于临床超声诊断检查，各探头临床应用见产品技术要求XX。</w:t>
      </w:r>
    </w:p>
    <w:p w14:paraId="1692F081">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写明每个探头的所有临床适用范围，并明确每个探头每个适用范围所支持的成像模式、功能，以表格形式列出，格式可参考附件</w:t>
      </w: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rPr>
        <w:t>2临床适用范围表格。</w:t>
      </w:r>
    </w:p>
    <w:p w14:paraId="1E2131D3">
      <w:pPr>
        <w:spacing w:line="520" w:lineRule="exact"/>
        <w:ind w:firstLine="640" w:firstLineChars="200"/>
        <w:jc w:val="left"/>
        <w:outlineLvl w:val="1"/>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（三）非临床资料</w:t>
      </w:r>
    </w:p>
    <w:p w14:paraId="467D07B2">
      <w:pPr>
        <w:pStyle w:val="414"/>
        <w:spacing w:line="520" w:lineRule="exact"/>
        <w:outlineLvl w:val="2"/>
      </w:pPr>
      <w:r>
        <w:t>1.产品风险管理资料</w:t>
      </w:r>
    </w:p>
    <w:p w14:paraId="459D0BCF">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产品主要的风险包括声能安全危害、生物学危害、环境危害、与使用有关的危害、功能失效及老化有关的危害等，注册申请人应按照GB/T 42062的要求说明产品在设计、原材料、生产加工、包装、运输、贮存、使用等生命周期内各个环节的安全特征，从生物学危害、环境危害、有关使用的危害、因功能失效、老化及存储不当引起的危害等方面，对产品进行全面的风险分析，并详述所采取的风险控制措施及验证结果，必要时需引用检测和评价性报告。</w:t>
      </w:r>
    </w:p>
    <w:p w14:paraId="34DADD5D">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提供产品上市前对其风险管理活动进行全面评审所形成的风险管理报告，此报告旨在说明并承诺风险管理计划已被恰当地实施，并经过验证后判定综合剩余风险是可接受的。</w:t>
      </w:r>
    </w:p>
    <w:p w14:paraId="4B6B1878">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具体要求参见附件</w:t>
      </w: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rPr>
        <w:t>3产品风险管理要求。</w:t>
      </w:r>
    </w:p>
    <w:p w14:paraId="66968BB5">
      <w:pPr>
        <w:pStyle w:val="414"/>
        <w:spacing w:line="520" w:lineRule="exact"/>
        <w:outlineLvl w:val="2"/>
      </w:pPr>
      <w:r>
        <w:t>2.安全和性能的基本原则清单</w:t>
      </w:r>
    </w:p>
    <w:p w14:paraId="387A8FF9">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应明确申报产品对《医疗器械安全和性能的基本原则》中各项要求的适用性，适用性举例见附件1</w:t>
      </w: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rPr>
        <w:t>。对于不适用的要求，应当逐项说明不适用的理由。对于适用的要求，应逐项说明为符合要求所采用的方法，以及证明其符合性的文件。关于证明各项要求符合性的文件，如果包含在产品注册申报资料中，应当说明其在申报资料中的具体位置。对于未包含在产品注册申报资料中的文件，应当注明该证据文件名称及其在质量管理体系文件中的编号。具体要求参考《&lt;医疗器械安全和性能基本原则&gt;符合性技术指南》。</w:t>
      </w:r>
    </w:p>
    <w:p w14:paraId="50F2088A">
      <w:pPr>
        <w:pStyle w:val="414"/>
        <w:spacing w:line="520" w:lineRule="exact"/>
        <w:outlineLvl w:val="2"/>
      </w:pPr>
      <w:r>
        <w:t>3.产品技术要求及检验报告</w:t>
      </w:r>
    </w:p>
    <w:p w14:paraId="291215D5">
      <w:pPr>
        <w:pStyle w:val="414"/>
        <w:spacing w:line="520" w:lineRule="exact"/>
      </w:pPr>
      <w:r>
        <w:t>产品技术要求需按照《医疗器械产品技术要求编写指导原则》进行编写，同时结合产品具体适用的指导原则或相关国家标准、行业标准以及产品的特点，明确产品的各项性能指标和检验方法。产品的性能指标应为可进行客观判定的成品的功能性、安全性指标。</w:t>
      </w:r>
    </w:p>
    <w:p w14:paraId="35DC65EB">
      <w:pPr>
        <w:pStyle w:val="414"/>
        <w:spacing w:line="520" w:lineRule="exact"/>
        <w:outlineLvl w:val="3"/>
      </w:pPr>
      <w:r>
        <w:t>3.1型号、规格及其划分说明</w:t>
      </w:r>
    </w:p>
    <w:p w14:paraId="633EC488">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应明确产品规格相关信息，明确不同型号间产品差异。可以附录的形式提供，包含但不限于：</w:t>
      </w:r>
    </w:p>
    <w:p w14:paraId="7A067F47">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3.1.1影像型超声诊断设备产品型号/规格及其划分说明。</w:t>
      </w:r>
    </w:p>
    <w:p w14:paraId="664DB9E1">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3.1.2对同一注册单元中存在多种型号和/或规格的产品，应明确各型号及各规格之间的所有区别（必要时可附相应图示进行说明）。产品型号/规格应包含但不限于以下信息：</w:t>
      </w:r>
    </w:p>
    <w:p w14:paraId="4EE0ECF1">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3.1.2.1完整的产品描述，包括产品的外观结构图、原理框图（应明确发射和接收物理通道数、声束形成器类型等信息）、基本安全特征及电气绝缘图、电磁兼容的分类分组信息等；</w:t>
      </w:r>
    </w:p>
    <w:p w14:paraId="502B8319">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3.1.2.2所有可配置探头的信息，包括探头的型号、技术规格（包括探头的类型、总体结构、尺寸及阵元总数、单个阵元的尺寸及阵元排列方式、声透镜材料、阵元材料等）； </w:t>
      </w:r>
    </w:p>
    <w:p w14:paraId="3051244F">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3.1.2.3每个探头的所有临床适用范围，并明确每个探头每个适用范围所支持的成像模式、功能，以表格形式列出，格式可参考附件</w:t>
      </w: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rPr>
        <w:t>2临床适用范围表格；</w:t>
      </w:r>
    </w:p>
    <w:p w14:paraId="33EAB674">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3.1.2.4预期与患者接触部分材料；</w:t>
      </w:r>
    </w:p>
    <w:p w14:paraId="4E664C1E">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3.1.2.5主机电源组件或电源适配器的规格型号；</w:t>
      </w:r>
    </w:p>
    <w:p w14:paraId="4582FBC8">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3.1.2.6所有可配置的外部设备，包括视频打印机、图像存储装置等；</w:t>
      </w:r>
    </w:p>
    <w:p w14:paraId="4D01FC2D">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3.1.2.7主机配置显示器的类型、尺寸和最低分辨率；</w:t>
      </w:r>
    </w:p>
    <w:p w14:paraId="60341FFD">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3.1.2.8可以引起声辐射区域发生改变的操作控制。</w:t>
      </w:r>
    </w:p>
    <w:p w14:paraId="4ABC1E5A">
      <w:pPr>
        <w:pStyle w:val="414"/>
        <w:spacing w:line="520" w:lineRule="exact"/>
        <w:outlineLvl w:val="3"/>
      </w:pPr>
      <w:r>
        <w:t>3.2安全要求，至少包括以下要求：</w:t>
      </w:r>
    </w:p>
    <w:p w14:paraId="2DE53CB0">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3.2.1基本安全和基本性能应当符合GB 9706.1、GB 9706.237、YY 9706.102的要求。</w:t>
      </w:r>
    </w:p>
    <w:p w14:paraId="2A7612AF">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3.2.2声输出应当符合GB 9706.237的要求。</w:t>
      </w:r>
    </w:p>
    <w:p w14:paraId="31F421A7">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3.2.3若具有附加了超声成像之外其他成像方式的超声内窥镜探头，应当符合GB 9706.218的适用要求。</w:t>
      </w:r>
    </w:p>
    <w:p w14:paraId="7DBBC1EE">
      <w:pPr>
        <w:pStyle w:val="414"/>
        <w:spacing w:line="520" w:lineRule="exact"/>
        <w:outlineLvl w:val="3"/>
      </w:pPr>
      <w:r>
        <w:t>3.3产品性能要求，至少包括以下要求：</w:t>
      </w:r>
    </w:p>
    <w:p w14:paraId="270BC57E">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3.3.1二维灰阶成像模式的探头应当符合GB 10152的要求，彩色多普勒血流成像模式的探头应当符合YY/T 0767的要求。</w:t>
      </w:r>
    </w:p>
    <w:p w14:paraId="09A43A55">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3.3.2若具有用于颅内血管的笔式（单通道、双通道或多通道）探头，应参考YY/T 0593标准的相关要求，若具有用于外周血管的笔式探头，建议参照该标准的相关要求。</w:t>
      </w:r>
    </w:p>
    <w:p w14:paraId="7C5E9442">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3.3.3若</w:t>
      </w:r>
      <w:bookmarkStart w:id="5" w:name="_Hlk145881398"/>
      <w:r>
        <w:rPr>
          <w:rFonts w:ascii="Times New Roman" w:hAnsi="Times New Roman" w:eastAsia="仿宋_GB2312" w:cs="Times New Roman"/>
          <w:bCs/>
          <w:sz w:val="32"/>
          <w:szCs w:val="32"/>
        </w:rPr>
        <w:t>具有超声内窥镜探头或具有内窥镜下使用的超声探头</w:t>
      </w:r>
      <w:bookmarkEnd w:id="5"/>
      <w:r>
        <w:rPr>
          <w:rFonts w:ascii="Times New Roman" w:hAnsi="Times New Roman" w:eastAsia="仿宋_GB2312" w:cs="Times New Roman"/>
          <w:bCs/>
          <w:sz w:val="32"/>
          <w:szCs w:val="32"/>
        </w:rPr>
        <w:t>，建议参考YY/T 1676标准，并考虑YY(/T) 0068系列标准等内窥镜标准的适用性。经食道探头应规定安全性能（化学性能、表面安全性）、弯角操纵系统、密封性能、与附件的配合、标记、尺寸偏差等要求，可参考YY/T 1028及相关标准制定。</w:t>
      </w:r>
    </w:p>
    <w:p w14:paraId="4F3ED312">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3.3.4具有ECG信号检测单元的设备，应规定心率测量范围和误差、QRS波幅度和间期的范围、基线复位、导联线的标记等性能，可参考GB 9706.227相关内容或由制造商制定相关性能要求。</w:t>
      </w:r>
    </w:p>
    <w:p w14:paraId="5473A766">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3.3.5含有脚踏开关的设备，应符合YY/T 1057的要求。</w:t>
      </w:r>
    </w:p>
    <w:p w14:paraId="6C1695A7">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3.3.6含有穿刺架/穿刺针的设备，应符合YY/T 1671的要求。</w:t>
      </w:r>
    </w:p>
    <w:p w14:paraId="39782194">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3.3.7特殊成像模式</w:t>
      </w:r>
    </w:p>
    <w:p w14:paraId="50ACF29F">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部分给出以下成像模式至少需要验证的技术参数（若适用），对参数数值/具体要求并不作明确规定，数值/具体要求由企业自行规定。对于不适用的参数，同时给出不适用原因。若有其他定量分析的参数，也应进行验证，并公布其物理意义和临床意义。有些参数在本部分一并给出推荐的试验方法，对于推荐的试验方法并不做强制要求，企业可自行制定试验方法，自行制定的试验方法应同时给出试验方法的出处或合理性、可行性的分析。</w:t>
      </w:r>
    </w:p>
    <w:p w14:paraId="15E49F06">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3.3.7.1三维成像</w:t>
      </w:r>
    </w:p>
    <w:p w14:paraId="7EB553CF">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不使用位置传感器的自由臂三维超声成像无特殊技术参数要求。使用位置传感器的自由臂三维超声成像、机械定位三维超声成像、机械扫查实时三维超声成像和电子扫查实时三维超声成像通常提供测量功能，应对下列技术参数进行验证：探测深度、盲区、侧向分辨力、轴向分辨力、几何位置精度、体积测量。</w:t>
      </w:r>
    </w:p>
    <w:p w14:paraId="0D5D39F8">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指标含义参见标准YY/T 1279。试验方法应参照标准YY/T 1279。</w:t>
      </w:r>
    </w:p>
    <w:p w14:paraId="4C8585AE">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3.3.7.2造影成像</w:t>
      </w:r>
    </w:p>
    <w:p w14:paraId="396652F5">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造影成像功能应验证的技术参数：造影成像最大深度、与组织参考图像重合度、造影增强指数。试验方法及体模至少公布的信息应参考</w:t>
      </w:r>
      <w:r>
        <w:rPr>
          <w:rFonts w:ascii="Times New Roman" w:hAnsi="Times New Roman" w:cs="Times New Roman"/>
        </w:rPr>
        <w:t xml:space="preserve"> </w:t>
      </w:r>
      <w:r>
        <w:rPr>
          <w:rFonts w:ascii="Times New Roman" w:hAnsi="Times New Roman" w:eastAsia="仿宋_GB2312" w:cs="Times New Roman"/>
          <w:bCs/>
          <w:sz w:val="32"/>
          <w:szCs w:val="32"/>
        </w:rPr>
        <w:t>YY/T 1919标准要求。</w:t>
      </w:r>
    </w:p>
    <w:p w14:paraId="1E5B4594">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3.3.7.3静态/准静态应变弹性成像</w:t>
      </w:r>
    </w:p>
    <w:p w14:paraId="2E89026D">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静态/准静态应变弹性成像功能应给出并进行验证的技术参数：</w:t>
      </w:r>
    </w:p>
    <w:p w14:paraId="592EEA42">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3.3.7.3.1探测深度、应变比（测量范围、测量的准确性及重复性）、空间分辨力、几何成像精度（即几何误差）。试验方法应参考YY/T 1419。</w:t>
      </w:r>
    </w:p>
    <w:p w14:paraId="77DDDDEF">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3.3.7.3.2与B模式图像重合性</w:t>
      </w:r>
    </w:p>
    <w:p w14:paraId="1598129D">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试验方法：开启被测诊断系统，进入弹性成像模式，将探头经耦合剂置于测试体模表面上，选择合适的频率、焦点、深度等，对准合适大小、硬度的靶群，按照说明书描述方法进行操作。以目力核实靶点图像位置是否与B模式靶点位置有明显错位。</w:t>
      </w:r>
    </w:p>
    <w:p w14:paraId="060EBD06">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企业在规定试验方法时，应明确“明显错位”的判定准则，如错位超过一定误差，认为是明显错位，并应明确误差数值。</w:t>
      </w:r>
    </w:p>
    <w:p w14:paraId="7E763431">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3.3.7.4剪切波弹性成像</w:t>
      </w:r>
    </w:p>
    <w:p w14:paraId="17BD31AA">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剪切波弹性成像功能应给出并进行验证的技术参数：</w:t>
      </w:r>
    </w:p>
    <w:p w14:paraId="502715F5">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3.3.7.4.1最大探测深度、剪切波速度的测量（测量范围、测量的准确性及重复性），空间分辨力、几何成像精度（即几何误差）。试验方法应参考YY/T 1480。</w:t>
      </w:r>
    </w:p>
    <w:p w14:paraId="4BB65D87">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3.3.7.4.2与B模式图像重合性（如适用）。</w:t>
      </w:r>
    </w:p>
    <w:p w14:paraId="2E2EE9CC">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试验方法参考3.3.7.3.2的要求。</w:t>
      </w:r>
    </w:p>
    <w:p w14:paraId="58CC0436">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3.3.7.5图像融合</w:t>
      </w:r>
    </w:p>
    <w:p w14:paraId="25CA61F0">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图像融合应给出并进行验证的技术参数：</w:t>
      </w:r>
    </w:p>
    <w:p w14:paraId="601BF141">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3.3.7.5.1图像融合模态类型。给出可进行融合的全部模态类型。</w:t>
      </w:r>
    </w:p>
    <w:p w14:paraId="2B0325E1">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3.3.7.5.2图像融合有效空间范围。</w:t>
      </w:r>
    </w:p>
    <w:p w14:paraId="32D0E55B">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应给出融合二维或三维空间范围。</w:t>
      </w:r>
    </w:p>
    <w:p w14:paraId="5BFD85B8">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3.3.7.5.3有效空间范围下的融合偏差。融合偏差应包括系统的所有偏差（如探头、磁定位系统等引起的偏差总和）。如支持多种配准方法，应分别给出每种配准方法下的融合偏差。</w:t>
      </w:r>
    </w:p>
    <w:p w14:paraId="399BCC76">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应根据产品特性制定试验方法，应模拟临床使用操作过程进行实际操作验证</w:t>
      </w:r>
      <w:bookmarkStart w:id="6" w:name="_Hlk146533531"/>
      <w:r>
        <w:rPr>
          <w:rFonts w:ascii="Times New Roman" w:hAnsi="Times New Roman" w:eastAsia="仿宋_GB2312" w:cs="Times New Roman"/>
          <w:bCs/>
          <w:sz w:val="32"/>
          <w:szCs w:val="32"/>
        </w:rPr>
        <w:t>。</w:t>
      </w:r>
      <w:bookmarkEnd w:id="6"/>
    </w:p>
    <w:p w14:paraId="28FF9F9D">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3.3.7.6图像导航</w:t>
      </w:r>
    </w:p>
    <w:p w14:paraId="719B0E38">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应给出并进行验证的技术参数：</w:t>
      </w:r>
    </w:p>
    <w:p w14:paraId="647D5F6C">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3.3.7.6.1图像融合模态类型。给出可进行图像导航的模态类型。</w:t>
      </w:r>
    </w:p>
    <w:p w14:paraId="38C28D6C">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3.3.7.6.2图像导航有效空间范围。</w:t>
      </w:r>
    </w:p>
    <w:p w14:paraId="1AB84440">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应给出二维或三维有效空间范围。</w:t>
      </w:r>
    </w:p>
    <w:p w14:paraId="026F73A0">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3.3.7.6.3有效空间下的图像导航偏差。</w:t>
      </w:r>
    </w:p>
    <w:p w14:paraId="08B373DB">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图像导航偏差应包括系统的所有偏差（如图像融合、探头、磁定位系统、穿刺架等引起的偏差）。如支持多种配准方法，应分别给出每种配准方法下的图像导航偏差。</w:t>
      </w:r>
    </w:p>
    <w:p w14:paraId="67704AE9">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应根据产品特性制定试验方法，应模拟临床使用操作过程进行实际操作验证。</w:t>
      </w:r>
    </w:p>
    <w:p w14:paraId="59F6BFE0">
      <w:pPr>
        <w:pStyle w:val="414"/>
        <w:spacing w:line="520" w:lineRule="exact"/>
        <w:outlineLvl w:val="2"/>
      </w:pPr>
      <w:r>
        <w:t>4.化学和物理性能研究</w:t>
      </w:r>
    </w:p>
    <w:p w14:paraId="2D5F27FB">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4.1应包含配接每一个探头时的性能。</w:t>
      </w:r>
    </w:p>
    <w:p w14:paraId="368D9F07">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4.2提供设备可进行的所有测量的测量准确度以及可保持该准确度的预期范围。测量方法建议参照YY/T 0767、YY/T 0458、YY/T 0705等标准，如无参考标准或现有标准不适用的，应当对测定每种精度的测试方法（如弦线式多普勒试件等）进行说明并给出其合理性依据。</w:t>
      </w:r>
    </w:p>
    <w:p w14:paraId="721A9706">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4.3若探头可与穿刺架配合使用，应参照YY/T 1671要求提交性能研究资料。</w:t>
      </w:r>
    </w:p>
    <w:p w14:paraId="0120A5F6">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4.4提供图像融合及图像导航功能与性能研究资料。</w:t>
      </w:r>
    </w:p>
    <w:p w14:paraId="70C738B5">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分别对图像融合及图像导航的功能以及性能进行研究。性能研究应覆盖适用探头、定位方式、配准方法（自动/手动，如包含多个自动算法应分别研究）、与超声图像融合的影像类型（如适用）等可能对性能产生影响的因素。可对单一因素分别研究，也可对所有因素进行系统研究。</w:t>
      </w:r>
    </w:p>
    <w:p w14:paraId="5230D111">
      <w:pPr>
        <w:pStyle w:val="414"/>
        <w:spacing w:line="520" w:lineRule="exact"/>
        <w:outlineLvl w:val="2"/>
      </w:pPr>
      <w:r>
        <w:t>5.软件研究</w:t>
      </w:r>
    </w:p>
    <w:p w14:paraId="3E670437">
      <w:pPr>
        <w:pStyle w:val="414"/>
        <w:spacing w:line="520" w:lineRule="exact"/>
      </w:pPr>
      <w:r>
        <w:rPr>
          <w:bCs w:val="0"/>
        </w:rPr>
        <w:t>应按照《医疗器械软件注册审查指导原则》中的软件组件要求提供软件研究资料、互操作性研究资料。若具有流程优化类人工智能软件功能应参照《影像超声人工智能软件（流程优化类功能）技术审评要点》提交相关资料；若具有辅助诊断类人工智能软件功能，按照《人工智能医疗器械注册审查指导原则》提交相关资料。</w:t>
      </w:r>
      <w:r>
        <w:t>软件安全性级别可结合软件的预期用途、使用场景、核心功能进行综合判定。</w:t>
      </w:r>
    </w:p>
    <w:p w14:paraId="11198634">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产品若具有电子数据交换、远程访问与控制、用户访问三种功能当中一种或一种以上的功能，应按照《医疗器械网络安全注册审查指导原则》提供网络安全研究资料。</w:t>
      </w:r>
    </w:p>
    <w:p w14:paraId="1B3E32AA">
      <w:pPr>
        <w:pStyle w:val="414"/>
        <w:spacing w:line="520" w:lineRule="exact"/>
      </w:pPr>
      <w:r>
        <w:t>产品若属于移动医疗设备（如便携式、掌上超声设备），应按照《移动医疗器械注册技术审查指导原则》的要求提交研究资料，重点应关注显示屏限制、环境光影响、电池容量等要求。</w:t>
      </w:r>
    </w:p>
    <w:p w14:paraId="3FA3877F">
      <w:pPr>
        <w:pStyle w:val="414"/>
        <w:spacing w:line="520" w:lineRule="exact"/>
        <w:outlineLvl w:val="2"/>
      </w:pPr>
      <w:r>
        <w:t>6.</w:t>
      </w:r>
      <w:bookmarkStart w:id="7" w:name="_Hlk145943642"/>
      <w:r>
        <w:t>生物学特性研究</w:t>
      </w:r>
      <w:bookmarkEnd w:id="7"/>
    </w:p>
    <w:p w14:paraId="7F91DA77">
      <w:pPr>
        <w:pStyle w:val="414"/>
        <w:spacing w:line="560" w:lineRule="exact"/>
      </w:pPr>
      <w:r>
        <w:t xml:space="preserve"> 生物学评价报告应当包含患者直接或间接接触的材料的理化性质的描述，需要开展生物学试验的应当在有相关资质的实验室开展。报告应当能够客观反应申报产品与人体接触部分的全部特性，并对试验结果开展安全有效性评估。产品常见的与人体接触部分为探头、穿刺架等，若通过试验的方式开展评价，应当根据申报产品的实际情况考虑与人体接触部分的材料所需的评价，其中探头部分的评价至少应包含声透镜、外壳及粘接剂。若通过自然腔道进入体内，应当考虑皮内反应是否能涵盖对特定部分（阴道、阴茎、口腔等）的刺激。若强制配合护套使用，可认为不直接接触患者，免于生物学评价。生物学评价对象应为清洗消毒灭菌后的最终成品，应关注消毒灭菌方法对生物学评价的影响。参照表1给出生物学特性研究概述信息。</w:t>
      </w:r>
    </w:p>
    <w:p w14:paraId="3E8AA2E0">
      <w:pPr>
        <w:pStyle w:val="414"/>
        <w:spacing w:line="560" w:lineRule="exact"/>
      </w:pPr>
    </w:p>
    <w:p w14:paraId="19770470">
      <w:pPr>
        <w:widowControl/>
        <w:spacing w:line="400" w:lineRule="exact"/>
        <w:ind w:firstLine="560" w:firstLineChars="200"/>
        <w:jc w:val="center"/>
        <w:rPr>
          <w:rFonts w:ascii="Times New Roman" w:hAnsi="Times New Roman" w:eastAsia="方正小标宋简体" w:cs="Times New Roman"/>
          <w:bCs/>
          <w:sz w:val="28"/>
          <w:szCs w:val="28"/>
        </w:rPr>
      </w:pPr>
      <w:r>
        <w:rPr>
          <w:rFonts w:ascii="Times New Roman" w:hAnsi="Times New Roman" w:eastAsia="方正小标宋简体" w:cs="Times New Roman"/>
          <w:bCs/>
          <w:sz w:val="28"/>
          <w:szCs w:val="28"/>
        </w:rPr>
        <w:t>表1 生物学评价信息</w:t>
      </w:r>
    </w:p>
    <w:tbl>
      <w:tblPr>
        <w:tblStyle w:val="89"/>
        <w:tblW w:w="8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941"/>
        <w:gridCol w:w="561"/>
        <w:gridCol w:w="1664"/>
        <w:gridCol w:w="1193"/>
        <w:gridCol w:w="619"/>
        <w:gridCol w:w="1649"/>
        <w:gridCol w:w="791"/>
        <w:gridCol w:w="1056"/>
      </w:tblGrid>
      <w:tr w14:paraId="226B2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6" w:type="dxa"/>
            <w:vAlign w:val="center"/>
          </w:tcPr>
          <w:p w14:paraId="3099AA46">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序号</w:t>
            </w:r>
          </w:p>
        </w:tc>
        <w:tc>
          <w:tcPr>
            <w:tcW w:w="941" w:type="dxa"/>
            <w:vAlign w:val="center"/>
          </w:tcPr>
          <w:p w14:paraId="1225FA8D">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类型</w:t>
            </w:r>
          </w:p>
        </w:tc>
        <w:tc>
          <w:tcPr>
            <w:tcW w:w="561" w:type="dxa"/>
            <w:vAlign w:val="center"/>
          </w:tcPr>
          <w:p w14:paraId="5609B2C3">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型号</w:t>
            </w:r>
          </w:p>
        </w:tc>
        <w:tc>
          <w:tcPr>
            <w:tcW w:w="1664" w:type="dxa"/>
            <w:vAlign w:val="center"/>
          </w:tcPr>
          <w:p w14:paraId="4D1BBDE1">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接触分类</w:t>
            </w:r>
          </w:p>
        </w:tc>
        <w:tc>
          <w:tcPr>
            <w:tcW w:w="1193" w:type="dxa"/>
            <w:vAlign w:val="center"/>
          </w:tcPr>
          <w:p w14:paraId="3C502ED0">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材料</w:t>
            </w:r>
          </w:p>
        </w:tc>
        <w:tc>
          <w:tcPr>
            <w:tcW w:w="619" w:type="dxa"/>
            <w:vAlign w:val="center"/>
          </w:tcPr>
          <w:p w14:paraId="634EDE3E">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典型型号</w:t>
            </w:r>
          </w:p>
        </w:tc>
        <w:tc>
          <w:tcPr>
            <w:tcW w:w="1649" w:type="dxa"/>
            <w:vAlign w:val="center"/>
          </w:tcPr>
          <w:p w14:paraId="63B0D0A8">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试验类型</w:t>
            </w:r>
          </w:p>
        </w:tc>
        <w:tc>
          <w:tcPr>
            <w:tcW w:w="791" w:type="dxa"/>
            <w:vAlign w:val="center"/>
          </w:tcPr>
          <w:p w14:paraId="11419899">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试验结果/结论</w:t>
            </w:r>
          </w:p>
        </w:tc>
        <w:tc>
          <w:tcPr>
            <w:tcW w:w="1056" w:type="dxa"/>
            <w:vAlign w:val="center"/>
          </w:tcPr>
          <w:p w14:paraId="1C87D7B6">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资料名称（索引）</w:t>
            </w:r>
          </w:p>
        </w:tc>
      </w:tr>
      <w:tr w14:paraId="233DA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0" w:hRule="atLeast"/>
          <w:jc w:val="center"/>
        </w:trPr>
        <w:tc>
          <w:tcPr>
            <w:tcW w:w="456" w:type="dxa"/>
            <w:vAlign w:val="center"/>
          </w:tcPr>
          <w:p w14:paraId="03FB9AA0">
            <w:pPr>
              <w:widowControl/>
              <w:spacing w:line="4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1</w:t>
            </w:r>
          </w:p>
        </w:tc>
        <w:tc>
          <w:tcPr>
            <w:tcW w:w="941" w:type="dxa"/>
            <w:vAlign w:val="center"/>
          </w:tcPr>
          <w:p w14:paraId="66678D3E">
            <w:pPr>
              <w:widowControl/>
              <w:spacing w:line="4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探  头</w:t>
            </w:r>
          </w:p>
        </w:tc>
        <w:tc>
          <w:tcPr>
            <w:tcW w:w="561" w:type="dxa"/>
            <w:vAlign w:val="center"/>
          </w:tcPr>
          <w:p w14:paraId="2DA2684E">
            <w:pPr>
              <w:widowControl/>
              <w:spacing w:line="400" w:lineRule="exact"/>
              <w:jc w:val="center"/>
              <w:rPr>
                <w:rFonts w:ascii="Times New Roman" w:hAnsi="Times New Roman" w:eastAsia="仿宋_GB2312" w:cs="Times New Roman"/>
                <w:bCs/>
                <w:sz w:val="24"/>
                <w:szCs w:val="24"/>
              </w:rPr>
            </w:pPr>
          </w:p>
        </w:tc>
        <w:tc>
          <w:tcPr>
            <w:tcW w:w="1664" w:type="dxa"/>
            <w:vAlign w:val="center"/>
          </w:tcPr>
          <w:p w14:paraId="4A883793">
            <w:pPr>
              <w:widowControl/>
              <w:spacing w:line="4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皮肤、（部位、完整或破损）粘膜、组织/骨 等</w:t>
            </w:r>
          </w:p>
        </w:tc>
        <w:tc>
          <w:tcPr>
            <w:tcW w:w="1193" w:type="dxa"/>
            <w:vAlign w:val="center"/>
          </w:tcPr>
          <w:p w14:paraId="66C8E7EE">
            <w:pPr>
              <w:widowControl/>
              <w:spacing w:line="4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声透镜：</w:t>
            </w:r>
          </w:p>
          <w:p w14:paraId="44767405">
            <w:pPr>
              <w:widowControl/>
              <w:spacing w:line="4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外壳：</w:t>
            </w:r>
          </w:p>
          <w:p w14:paraId="35C4D872">
            <w:pPr>
              <w:widowControl/>
              <w:spacing w:line="4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粘结剂：</w:t>
            </w:r>
          </w:p>
        </w:tc>
        <w:tc>
          <w:tcPr>
            <w:tcW w:w="619" w:type="dxa"/>
            <w:vAlign w:val="center"/>
          </w:tcPr>
          <w:p w14:paraId="5BB04CE1">
            <w:pPr>
              <w:widowControl/>
              <w:spacing w:line="400" w:lineRule="exact"/>
              <w:jc w:val="center"/>
              <w:rPr>
                <w:rFonts w:ascii="Times New Roman" w:hAnsi="Times New Roman" w:eastAsia="仿宋_GB2312" w:cs="Times New Roman"/>
                <w:bCs/>
                <w:sz w:val="24"/>
                <w:szCs w:val="24"/>
              </w:rPr>
            </w:pPr>
          </w:p>
        </w:tc>
        <w:tc>
          <w:tcPr>
            <w:tcW w:w="1649" w:type="dxa"/>
            <w:vAlign w:val="center"/>
          </w:tcPr>
          <w:p w14:paraId="158227D0">
            <w:pPr>
              <w:widowControl/>
              <w:spacing w:line="4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细胞毒性</w:t>
            </w:r>
          </w:p>
          <w:p w14:paraId="3D3E0265">
            <w:pPr>
              <w:widowControl/>
              <w:spacing w:line="4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致敏反应</w:t>
            </w:r>
          </w:p>
          <w:p w14:paraId="785B9FE0">
            <w:pPr>
              <w:widowControl/>
              <w:spacing w:line="4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刺激（包括包括皮内反应）</w:t>
            </w:r>
          </w:p>
        </w:tc>
        <w:tc>
          <w:tcPr>
            <w:tcW w:w="791" w:type="dxa"/>
            <w:vAlign w:val="center"/>
          </w:tcPr>
          <w:p w14:paraId="6E11491C">
            <w:pPr>
              <w:widowControl/>
              <w:spacing w:line="400" w:lineRule="exact"/>
              <w:jc w:val="center"/>
              <w:rPr>
                <w:rFonts w:ascii="Times New Roman" w:hAnsi="Times New Roman" w:eastAsia="仿宋_GB2312" w:cs="Times New Roman"/>
                <w:bCs/>
                <w:sz w:val="24"/>
                <w:szCs w:val="24"/>
              </w:rPr>
            </w:pPr>
          </w:p>
        </w:tc>
        <w:tc>
          <w:tcPr>
            <w:tcW w:w="1056" w:type="dxa"/>
            <w:vAlign w:val="center"/>
          </w:tcPr>
          <w:p w14:paraId="282EB760">
            <w:pPr>
              <w:widowControl/>
              <w:spacing w:line="400" w:lineRule="exact"/>
              <w:jc w:val="center"/>
              <w:rPr>
                <w:rFonts w:ascii="Times New Roman" w:hAnsi="Times New Roman" w:eastAsia="仿宋_GB2312" w:cs="Times New Roman"/>
                <w:bCs/>
                <w:sz w:val="24"/>
                <w:szCs w:val="24"/>
              </w:rPr>
            </w:pPr>
          </w:p>
        </w:tc>
      </w:tr>
      <w:tr w14:paraId="4254C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6" w:type="dxa"/>
            <w:vAlign w:val="center"/>
          </w:tcPr>
          <w:p w14:paraId="1087471F">
            <w:pPr>
              <w:widowControl/>
              <w:spacing w:line="4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2</w:t>
            </w:r>
          </w:p>
        </w:tc>
        <w:tc>
          <w:tcPr>
            <w:tcW w:w="941" w:type="dxa"/>
            <w:vAlign w:val="center"/>
          </w:tcPr>
          <w:p w14:paraId="30C03A5E">
            <w:pPr>
              <w:widowControl/>
              <w:spacing w:line="4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穿刺架</w:t>
            </w:r>
          </w:p>
        </w:tc>
        <w:tc>
          <w:tcPr>
            <w:tcW w:w="561" w:type="dxa"/>
            <w:vAlign w:val="center"/>
          </w:tcPr>
          <w:p w14:paraId="598BF446">
            <w:pPr>
              <w:widowControl/>
              <w:spacing w:line="400" w:lineRule="exact"/>
              <w:jc w:val="center"/>
              <w:rPr>
                <w:rFonts w:ascii="Times New Roman" w:hAnsi="Times New Roman" w:eastAsia="仿宋_GB2312" w:cs="Times New Roman"/>
                <w:bCs/>
                <w:sz w:val="24"/>
                <w:szCs w:val="24"/>
              </w:rPr>
            </w:pPr>
          </w:p>
        </w:tc>
        <w:tc>
          <w:tcPr>
            <w:tcW w:w="1664" w:type="dxa"/>
            <w:vAlign w:val="center"/>
          </w:tcPr>
          <w:p w14:paraId="6927103F">
            <w:pPr>
              <w:widowControl/>
              <w:spacing w:line="400" w:lineRule="exact"/>
              <w:jc w:val="center"/>
              <w:rPr>
                <w:rFonts w:ascii="Times New Roman" w:hAnsi="Times New Roman" w:eastAsia="仿宋_GB2312" w:cs="Times New Roman"/>
                <w:bCs/>
                <w:sz w:val="24"/>
                <w:szCs w:val="24"/>
              </w:rPr>
            </w:pPr>
          </w:p>
        </w:tc>
        <w:tc>
          <w:tcPr>
            <w:tcW w:w="1193" w:type="dxa"/>
            <w:vAlign w:val="center"/>
          </w:tcPr>
          <w:p w14:paraId="1AA73388">
            <w:pPr>
              <w:widowControl/>
              <w:spacing w:line="400" w:lineRule="exact"/>
              <w:jc w:val="center"/>
              <w:rPr>
                <w:rFonts w:ascii="Times New Roman" w:hAnsi="Times New Roman" w:eastAsia="仿宋_GB2312" w:cs="Times New Roman"/>
                <w:bCs/>
                <w:sz w:val="24"/>
                <w:szCs w:val="24"/>
              </w:rPr>
            </w:pPr>
          </w:p>
        </w:tc>
        <w:tc>
          <w:tcPr>
            <w:tcW w:w="619" w:type="dxa"/>
            <w:vAlign w:val="center"/>
          </w:tcPr>
          <w:p w14:paraId="1B709870">
            <w:pPr>
              <w:widowControl/>
              <w:spacing w:line="400" w:lineRule="exact"/>
              <w:jc w:val="center"/>
              <w:rPr>
                <w:rFonts w:ascii="Times New Roman" w:hAnsi="Times New Roman" w:eastAsia="仿宋_GB2312" w:cs="Times New Roman"/>
                <w:bCs/>
                <w:sz w:val="24"/>
                <w:szCs w:val="24"/>
              </w:rPr>
            </w:pPr>
          </w:p>
        </w:tc>
        <w:tc>
          <w:tcPr>
            <w:tcW w:w="1649" w:type="dxa"/>
            <w:vAlign w:val="center"/>
          </w:tcPr>
          <w:p w14:paraId="4994C4B9">
            <w:pPr>
              <w:widowControl/>
              <w:spacing w:line="400" w:lineRule="exact"/>
              <w:jc w:val="center"/>
              <w:rPr>
                <w:rFonts w:ascii="Times New Roman" w:hAnsi="Times New Roman" w:eastAsia="仿宋_GB2312" w:cs="Times New Roman"/>
                <w:bCs/>
                <w:sz w:val="24"/>
                <w:szCs w:val="24"/>
              </w:rPr>
            </w:pPr>
          </w:p>
        </w:tc>
        <w:tc>
          <w:tcPr>
            <w:tcW w:w="791" w:type="dxa"/>
            <w:vAlign w:val="center"/>
          </w:tcPr>
          <w:p w14:paraId="6B4BC459">
            <w:pPr>
              <w:widowControl/>
              <w:spacing w:line="400" w:lineRule="exact"/>
              <w:jc w:val="center"/>
              <w:rPr>
                <w:rFonts w:ascii="Times New Roman" w:hAnsi="Times New Roman" w:eastAsia="仿宋_GB2312" w:cs="Times New Roman"/>
                <w:bCs/>
                <w:sz w:val="24"/>
                <w:szCs w:val="24"/>
              </w:rPr>
            </w:pPr>
          </w:p>
        </w:tc>
        <w:tc>
          <w:tcPr>
            <w:tcW w:w="1056" w:type="dxa"/>
            <w:vAlign w:val="center"/>
          </w:tcPr>
          <w:p w14:paraId="54B86DB0">
            <w:pPr>
              <w:widowControl/>
              <w:spacing w:line="400" w:lineRule="exact"/>
              <w:jc w:val="center"/>
              <w:rPr>
                <w:rFonts w:ascii="Times New Roman" w:hAnsi="Times New Roman" w:eastAsia="仿宋_GB2312" w:cs="Times New Roman"/>
                <w:bCs/>
                <w:sz w:val="24"/>
                <w:szCs w:val="24"/>
              </w:rPr>
            </w:pPr>
          </w:p>
        </w:tc>
      </w:tr>
    </w:tbl>
    <w:p w14:paraId="359BD1C7">
      <w:pPr>
        <w:pStyle w:val="414"/>
        <w:spacing w:line="560" w:lineRule="exact"/>
      </w:pPr>
    </w:p>
    <w:p w14:paraId="2BB62DFE">
      <w:pPr>
        <w:pStyle w:val="414"/>
        <w:spacing w:line="560" w:lineRule="exact"/>
      </w:pPr>
      <w:r>
        <w:t>探头、穿刺架作为附件随主机注册的，如已随注册申请人其他主机在国内注册上市、使用多年、无生物学危害相关投诉和不良事件反馈、未发生《医疗器械生物学评价和审查指南》第四条第（一）款情形的，可豁免生物学试验，无需提交生物学试验报告。若豁免生物学试验，应明确豁免生物学试验的理由</w:t>
      </w:r>
      <w:r>
        <w:rPr>
          <w:i/>
          <w:iCs/>
        </w:rPr>
        <w:t>。</w:t>
      </w:r>
    </w:p>
    <w:p w14:paraId="6F85E198">
      <w:pPr>
        <w:pStyle w:val="414"/>
        <w:spacing w:line="560" w:lineRule="exact"/>
        <w:outlineLvl w:val="2"/>
      </w:pPr>
      <w:r>
        <w:t>7.清洁、消毒、灭菌研究</w:t>
      </w:r>
    </w:p>
    <w:p w14:paraId="5A278FDA">
      <w:pPr>
        <w:widowControl/>
        <w:spacing w:line="56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根据需清洁、消毒、灭菌的探头等产品组成的使用方式（例如体表、腔内、术中、神经外科、介入等）和是否为一次性使用等特性确定消毒或灭菌级别，提供相应研究资料。参照表2给出清洁消毒灭菌概述信息：</w:t>
      </w:r>
    </w:p>
    <w:p w14:paraId="2B26187E">
      <w:pPr>
        <w:widowControl/>
        <w:spacing w:line="400" w:lineRule="exact"/>
        <w:ind w:firstLine="420" w:firstLineChars="200"/>
        <w:jc w:val="center"/>
        <w:rPr>
          <w:rFonts w:ascii="Times New Roman" w:hAnsi="Times New Roman" w:eastAsia="宋体" w:cs="Times New Roman"/>
          <w:szCs w:val="24"/>
        </w:rPr>
      </w:pPr>
    </w:p>
    <w:p w14:paraId="12925015">
      <w:pPr>
        <w:widowControl/>
        <w:spacing w:line="400" w:lineRule="exact"/>
        <w:ind w:firstLine="560" w:firstLineChars="200"/>
        <w:jc w:val="center"/>
        <w:rPr>
          <w:rFonts w:ascii="Times New Roman" w:hAnsi="Times New Roman" w:eastAsia="方正小标宋简体" w:cs="Times New Roman"/>
          <w:bCs/>
          <w:sz w:val="28"/>
          <w:szCs w:val="28"/>
        </w:rPr>
      </w:pPr>
    </w:p>
    <w:p w14:paraId="3F977A55">
      <w:pPr>
        <w:widowControl/>
        <w:spacing w:line="400" w:lineRule="exact"/>
        <w:rPr>
          <w:rFonts w:ascii="Times New Roman" w:hAnsi="Times New Roman" w:eastAsia="方正小标宋简体" w:cs="Times New Roman"/>
          <w:bCs/>
          <w:sz w:val="28"/>
          <w:szCs w:val="28"/>
        </w:rPr>
      </w:pPr>
    </w:p>
    <w:p w14:paraId="19D94DCA">
      <w:pPr>
        <w:widowControl/>
        <w:spacing w:line="400" w:lineRule="exact"/>
        <w:ind w:firstLine="560" w:firstLineChars="200"/>
        <w:jc w:val="center"/>
        <w:rPr>
          <w:rFonts w:ascii="Times New Roman" w:hAnsi="Times New Roman" w:eastAsia="方正小标宋简体" w:cs="Times New Roman"/>
          <w:bCs/>
          <w:sz w:val="28"/>
          <w:szCs w:val="28"/>
        </w:rPr>
      </w:pPr>
      <w:r>
        <w:rPr>
          <w:rFonts w:ascii="Times New Roman" w:hAnsi="Times New Roman" w:eastAsia="方正小标宋简体" w:cs="Times New Roman"/>
          <w:bCs/>
          <w:sz w:val="28"/>
          <w:szCs w:val="28"/>
        </w:rPr>
        <w:t>表2 清洁/消毒/灭菌信息</w:t>
      </w:r>
    </w:p>
    <w:tbl>
      <w:tblPr>
        <w:tblStyle w:val="89"/>
        <w:tblW w:w="8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1130"/>
        <w:gridCol w:w="708"/>
        <w:gridCol w:w="1954"/>
        <w:gridCol w:w="730"/>
        <w:gridCol w:w="1243"/>
        <w:gridCol w:w="1332"/>
        <w:gridCol w:w="1377"/>
      </w:tblGrid>
      <w:tr w14:paraId="3A354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6" w:type="dxa"/>
            <w:vAlign w:val="center"/>
          </w:tcPr>
          <w:p w14:paraId="4089EFE9">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序号</w:t>
            </w:r>
          </w:p>
        </w:tc>
        <w:tc>
          <w:tcPr>
            <w:tcW w:w="1130" w:type="dxa"/>
            <w:vAlign w:val="center"/>
          </w:tcPr>
          <w:p w14:paraId="06C599F6">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类型</w:t>
            </w:r>
          </w:p>
        </w:tc>
        <w:tc>
          <w:tcPr>
            <w:tcW w:w="708" w:type="dxa"/>
            <w:vAlign w:val="center"/>
          </w:tcPr>
          <w:p w14:paraId="65B01D73">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型号</w:t>
            </w:r>
          </w:p>
        </w:tc>
        <w:tc>
          <w:tcPr>
            <w:tcW w:w="1954" w:type="dxa"/>
            <w:vAlign w:val="center"/>
          </w:tcPr>
          <w:p w14:paraId="3066AFA0">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接触类型</w:t>
            </w:r>
          </w:p>
        </w:tc>
        <w:tc>
          <w:tcPr>
            <w:tcW w:w="730" w:type="dxa"/>
            <w:vAlign w:val="center"/>
          </w:tcPr>
          <w:p w14:paraId="6E6C67B6">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消毒灭菌水平</w:t>
            </w:r>
          </w:p>
        </w:tc>
        <w:tc>
          <w:tcPr>
            <w:tcW w:w="1243" w:type="dxa"/>
            <w:vAlign w:val="center"/>
          </w:tcPr>
          <w:p w14:paraId="4FD3A21C">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清洁消毒灭菌工艺</w:t>
            </w:r>
          </w:p>
        </w:tc>
        <w:tc>
          <w:tcPr>
            <w:tcW w:w="1332" w:type="dxa"/>
            <w:vAlign w:val="center"/>
          </w:tcPr>
          <w:p w14:paraId="04FEE2B8">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典型型号</w:t>
            </w:r>
          </w:p>
          <w:p w14:paraId="414C5874">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（如有）</w:t>
            </w:r>
          </w:p>
        </w:tc>
        <w:tc>
          <w:tcPr>
            <w:tcW w:w="1377" w:type="dxa"/>
            <w:vAlign w:val="center"/>
          </w:tcPr>
          <w:p w14:paraId="28EA290B">
            <w:pPr>
              <w:widowControl/>
              <w:spacing w:line="400" w:lineRule="exact"/>
              <w:jc w:val="center"/>
              <w:rPr>
                <w:rFonts w:ascii="Times New Roman" w:hAnsi="Times New Roman" w:eastAsia="黑体" w:cs="Times New Roman"/>
                <w:bCs/>
                <w:sz w:val="24"/>
                <w:szCs w:val="24"/>
              </w:rPr>
            </w:pPr>
            <w:r>
              <w:rPr>
                <w:rFonts w:ascii="Times New Roman" w:hAnsi="Times New Roman" w:eastAsia="黑体" w:cs="Times New Roman"/>
                <w:bCs/>
                <w:sz w:val="24"/>
                <w:szCs w:val="24"/>
              </w:rPr>
              <w:t>资料名称（索引）</w:t>
            </w:r>
          </w:p>
        </w:tc>
      </w:tr>
      <w:tr w14:paraId="4ADE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jc w:val="center"/>
        </w:trPr>
        <w:tc>
          <w:tcPr>
            <w:tcW w:w="456" w:type="dxa"/>
            <w:vAlign w:val="center"/>
          </w:tcPr>
          <w:p w14:paraId="293447EA">
            <w:pPr>
              <w:widowControl/>
              <w:spacing w:line="4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1</w:t>
            </w:r>
          </w:p>
        </w:tc>
        <w:tc>
          <w:tcPr>
            <w:tcW w:w="1130" w:type="dxa"/>
            <w:vAlign w:val="center"/>
          </w:tcPr>
          <w:p w14:paraId="55B799E6">
            <w:pPr>
              <w:widowControl/>
              <w:spacing w:line="4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探  头</w:t>
            </w:r>
          </w:p>
        </w:tc>
        <w:tc>
          <w:tcPr>
            <w:tcW w:w="708" w:type="dxa"/>
            <w:vAlign w:val="center"/>
          </w:tcPr>
          <w:p w14:paraId="7F97E7BD">
            <w:pPr>
              <w:widowControl/>
              <w:spacing w:line="400" w:lineRule="exact"/>
              <w:jc w:val="center"/>
              <w:rPr>
                <w:rFonts w:ascii="Times New Roman" w:hAnsi="Times New Roman" w:eastAsia="仿宋_GB2312" w:cs="Times New Roman"/>
                <w:bCs/>
                <w:sz w:val="24"/>
                <w:szCs w:val="24"/>
              </w:rPr>
            </w:pPr>
          </w:p>
        </w:tc>
        <w:tc>
          <w:tcPr>
            <w:tcW w:w="1954" w:type="dxa"/>
            <w:vAlign w:val="center"/>
          </w:tcPr>
          <w:p w14:paraId="01A2400A">
            <w:pPr>
              <w:widowControl/>
              <w:spacing w:line="4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皮肤、（部位、完整或破损）粘膜、组织/骨 等</w:t>
            </w:r>
          </w:p>
        </w:tc>
        <w:tc>
          <w:tcPr>
            <w:tcW w:w="730" w:type="dxa"/>
            <w:vAlign w:val="center"/>
          </w:tcPr>
          <w:p w14:paraId="487F7535">
            <w:pPr>
              <w:widowControl/>
              <w:spacing w:line="400" w:lineRule="exact"/>
              <w:jc w:val="center"/>
              <w:rPr>
                <w:rFonts w:ascii="Times New Roman" w:hAnsi="Times New Roman" w:eastAsia="仿宋_GB2312" w:cs="Times New Roman"/>
                <w:bCs/>
                <w:sz w:val="24"/>
                <w:szCs w:val="24"/>
              </w:rPr>
            </w:pPr>
          </w:p>
        </w:tc>
        <w:tc>
          <w:tcPr>
            <w:tcW w:w="1243" w:type="dxa"/>
            <w:vAlign w:val="center"/>
          </w:tcPr>
          <w:p w14:paraId="5CC04739">
            <w:pPr>
              <w:widowControl/>
              <w:spacing w:line="400" w:lineRule="exact"/>
              <w:jc w:val="center"/>
              <w:rPr>
                <w:rFonts w:ascii="Times New Roman" w:hAnsi="Times New Roman" w:eastAsia="仿宋_GB2312" w:cs="Times New Roman"/>
                <w:bCs/>
                <w:sz w:val="24"/>
                <w:szCs w:val="24"/>
              </w:rPr>
            </w:pPr>
          </w:p>
        </w:tc>
        <w:tc>
          <w:tcPr>
            <w:tcW w:w="1332" w:type="dxa"/>
            <w:vAlign w:val="center"/>
          </w:tcPr>
          <w:p w14:paraId="57793A42">
            <w:pPr>
              <w:widowControl/>
              <w:spacing w:line="400" w:lineRule="exact"/>
              <w:jc w:val="center"/>
              <w:rPr>
                <w:rFonts w:ascii="Times New Roman" w:hAnsi="Times New Roman" w:eastAsia="仿宋_GB2312" w:cs="Times New Roman"/>
                <w:bCs/>
                <w:sz w:val="24"/>
                <w:szCs w:val="24"/>
              </w:rPr>
            </w:pPr>
          </w:p>
        </w:tc>
        <w:tc>
          <w:tcPr>
            <w:tcW w:w="1377" w:type="dxa"/>
            <w:vAlign w:val="center"/>
          </w:tcPr>
          <w:p w14:paraId="60BCED09">
            <w:pPr>
              <w:widowControl/>
              <w:spacing w:line="400" w:lineRule="exact"/>
              <w:jc w:val="center"/>
              <w:rPr>
                <w:rFonts w:ascii="Times New Roman" w:hAnsi="Times New Roman" w:eastAsia="仿宋_GB2312" w:cs="Times New Roman"/>
                <w:bCs/>
                <w:sz w:val="24"/>
                <w:szCs w:val="24"/>
              </w:rPr>
            </w:pPr>
          </w:p>
        </w:tc>
      </w:tr>
      <w:tr w14:paraId="46A98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6" w:type="dxa"/>
            <w:vAlign w:val="center"/>
          </w:tcPr>
          <w:p w14:paraId="50B55654">
            <w:pPr>
              <w:widowControl/>
              <w:spacing w:line="4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2</w:t>
            </w:r>
          </w:p>
        </w:tc>
        <w:tc>
          <w:tcPr>
            <w:tcW w:w="1130" w:type="dxa"/>
            <w:vAlign w:val="center"/>
          </w:tcPr>
          <w:p w14:paraId="57BDC1C3">
            <w:pPr>
              <w:widowControl/>
              <w:spacing w:line="4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穿刺架</w:t>
            </w:r>
          </w:p>
        </w:tc>
        <w:tc>
          <w:tcPr>
            <w:tcW w:w="708" w:type="dxa"/>
            <w:vAlign w:val="center"/>
          </w:tcPr>
          <w:p w14:paraId="25BF293D">
            <w:pPr>
              <w:widowControl/>
              <w:spacing w:line="400" w:lineRule="exact"/>
              <w:jc w:val="center"/>
              <w:rPr>
                <w:rFonts w:ascii="Times New Roman" w:hAnsi="Times New Roman" w:eastAsia="仿宋_GB2312" w:cs="Times New Roman"/>
                <w:bCs/>
                <w:sz w:val="24"/>
                <w:szCs w:val="24"/>
              </w:rPr>
            </w:pPr>
          </w:p>
        </w:tc>
        <w:tc>
          <w:tcPr>
            <w:tcW w:w="1954" w:type="dxa"/>
            <w:vAlign w:val="center"/>
          </w:tcPr>
          <w:p w14:paraId="319DC302">
            <w:pPr>
              <w:widowControl/>
              <w:spacing w:line="400" w:lineRule="exact"/>
              <w:jc w:val="center"/>
              <w:rPr>
                <w:rFonts w:ascii="Times New Roman" w:hAnsi="Times New Roman" w:eastAsia="仿宋_GB2312" w:cs="Times New Roman"/>
                <w:bCs/>
                <w:sz w:val="24"/>
                <w:szCs w:val="24"/>
              </w:rPr>
            </w:pPr>
          </w:p>
        </w:tc>
        <w:tc>
          <w:tcPr>
            <w:tcW w:w="730" w:type="dxa"/>
            <w:vAlign w:val="center"/>
          </w:tcPr>
          <w:p w14:paraId="0C4EDFE6">
            <w:pPr>
              <w:widowControl/>
              <w:spacing w:line="400" w:lineRule="exact"/>
              <w:jc w:val="center"/>
              <w:rPr>
                <w:rFonts w:ascii="Times New Roman" w:hAnsi="Times New Roman" w:eastAsia="仿宋_GB2312" w:cs="Times New Roman"/>
                <w:bCs/>
                <w:sz w:val="24"/>
                <w:szCs w:val="24"/>
              </w:rPr>
            </w:pPr>
          </w:p>
        </w:tc>
        <w:tc>
          <w:tcPr>
            <w:tcW w:w="1243" w:type="dxa"/>
            <w:vAlign w:val="center"/>
          </w:tcPr>
          <w:p w14:paraId="48F0288F">
            <w:pPr>
              <w:widowControl/>
              <w:spacing w:line="400" w:lineRule="exact"/>
              <w:jc w:val="center"/>
              <w:rPr>
                <w:rFonts w:ascii="Times New Roman" w:hAnsi="Times New Roman" w:eastAsia="仿宋_GB2312" w:cs="Times New Roman"/>
                <w:bCs/>
                <w:sz w:val="24"/>
                <w:szCs w:val="24"/>
              </w:rPr>
            </w:pPr>
          </w:p>
        </w:tc>
        <w:tc>
          <w:tcPr>
            <w:tcW w:w="1332" w:type="dxa"/>
            <w:vAlign w:val="center"/>
          </w:tcPr>
          <w:p w14:paraId="4050E405">
            <w:pPr>
              <w:widowControl/>
              <w:spacing w:line="400" w:lineRule="exact"/>
              <w:jc w:val="center"/>
              <w:rPr>
                <w:rFonts w:ascii="Times New Roman" w:hAnsi="Times New Roman" w:eastAsia="仿宋_GB2312" w:cs="Times New Roman"/>
                <w:bCs/>
                <w:sz w:val="24"/>
                <w:szCs w:val="24"/>
              </w:rPr>
            </w:pPr>
          </w:p>
        </w:tc>
        <w:tc>
          <w:tcPr>
            <w:tcW w:w="1377" w:type="dxa"/>
            <w:vAlign w:val="center"/>
          </w:tcPr>
          <w:p w14:paraId="7A486722">
            <w:pPr>
              <w:widowControl/>
              <w:spacing w:line="400" w:lineRule="exact"/>
              <w:jc w:val="center"/>
              <w:rPr>
                <w:rFonts w:ascii="Times New Roman" w:hAnsi="Times New Roman" w:eastAsia="仿宋_GB2312" w:cs="Times New Roman"/>
                <w:bCs/>
                <w:sz w:val="24"/>
                <w:szCs w:val="24"/>
              </w:rPr>
            </w:pPr>
          </w:p>
        </w:tc>
      </w:tr>
    </w:tbl>
    <w:p w14:paraId="709C0801">
      <w:pPr>
        <w:widowControl/>
        <w:spacing w:line="520" w:lineRule="exact"/>
        <w:ind w:firstLine="640" w:firstLineChars="200"/>
        <w:jc w:val="left"/>
        <w:rPr>
          <w:rFonts w:ascii="Times New Roman" w:hAnsi="Times New Roman" w:eastAsia="仿宋_GB2312" w:cs="Times New Roman"/>
          <w:bCs/>
          <w:sz w:val="32"/>
          <w:szCs w:val="32"/>
        </w:rPr>
      </w:pPr>
    </w:p>
    <w:p w14:paraId="7011B15D">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应分别提交使用者清洁和消毒研究资料。</w:t>
      </w:r>
    </w:p>
    <w:p w14:paraId="1031A5CC">
      <w:pPr>
        <w:widowControl/>
        <w:spacing w:line="520" w:lineRule="exact"/>
        <w:ind w:firstLine="640" w:firstLineChars="200"/>
        <w:jc w:val="left"/>
        <w:rPr>
          <w:rFonts w:ascii="Times New Roman" w:hAnsi="Times New Roman" w:eastAsia="仿宋_GB2312" w:cs="Times New Roman"/>
          <w:bCs/>
          <w:i/>
          <w:iCs/>
          <w:sz w:val="32"/>
          <w:szCs w:val="32"/>
        </w:rPr>
      </w:pPr>
      <w:r>
        <w:rPr>
          <w:rFonts w:ascii="Times New Roman" w:hAnsi="Times New Roman" w:eastAsia="仿宋_GB2312" w:cs="Times New Roman"/>
          <w:bCs/>
          <w:sz w:val="32"/>
          <w:szCs w:val="32"/>
        </w:rPr>
        <w:t>短时接触完整皮肤使用的探头，可中、低水平消毒。</w:t>
      </w:r>
    </w:p>
    <w:p w14:paraId="5BB22CB1">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经腔道使用的探头，产品技术要求及说明书应明确预期接触破损粘膜还是完整粘膜。如仅能接触完整粘膜，使用前至少高水平消毒，尽量灭菌。如可能接触破损黏膜，一旦被微生物污染，具有极高感染风险，使用前应灭菌。无法灭菌的探头，不能用于破损粘膜，产品技术要求和说明书中明确仅能接触完整粘膜。建议使用无菌护套或保护鞘，但是考虑到破损风险，是否使用无菌护套或保护鞘，不改变腔内探头的消毒灭菌水平要求。</w:t>
      </w:r>
    </w:p>
    <w:p w14:paraId="739A2C73">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术中及介入使用的探头、穿刺架、穿刺针应灭菌。如在使用中接触无菌组织、血液、体液（如脑脊液、腹膜液、房水等）或破损黏膜的探头，一旦被微生物污染，具有极高感染风险，用户在每次使用前后应彻底清洁并对其进行灭菌。是否使用无菌护套或保护鞘，不改变术中及介入使用探头的灭菌水平要求。</w:t>
      </w:r>
    </w:p>
    <w:p w14:paraId="59CF28A7">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如有多种消毒灭菌工艺，应针对每一种工艺提供相关的研究资料。如果有多种灭菌工艺且未进行交叉验证的，说明书中应提示“未对交叉灭菌的风险进行评估，建议使用过程中不更换灭菌方式”。</w:t>
      </w:r>
    </w:p>
    <w:p w14:paraId="67FCDF19">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消毒灭菌报告，涉及终端用户清洗、消毒、灭菌的情况需要明确推荐的清洗、消毒、灭菌工艺（方法和参数）及确定依据。若使用期限与消毒、灭菌次数相关，应当提交耐受性、稳定性的研究资料。涉及生产企业灭菌的情况，需要明确灭菌工艺（方法和参数）和无菌保证水平（SAL），并提供灭菌确认报告。如果消毒灭菌使用的方法容易出现残留，应当明确残留物的信息及采取的处理方法，提供残留毒性相关研究资料。对于需要重复灭菌的情况，可参考相关标准及指导原则。</w:t>
      </w:r>
    </w:p>
    <w:p w14:paraId="6B07A79C">
      <w:pPr>
        <w:pStyle w:val="414"/>
        <w:spacing w:line="520" w:lineRule="exact"/>
        <w:outlineLvl w:val="2"/>
      </w:pPr>
      <w:r>
        <w:t>8.稳定性研究</w:t>
      </w:r>
    </w:p>
    <w:p w14:paraId="1FB5EA3C">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应分别对所有组成的使用期限及包装进行研究。</w:t>
      </w:r>
    </w:p>
    <w:p w14:paraId="20E7BC44">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有源医疗器械使用期限注册技术审查指导原则》提交有效期验证分析报告。性能验收指标应包含超声图像质量相关性能指标参数。有效期验证应考虑放置环境下的老化、运行输出老化以及消毒灭菌耐受性。包装完整性，应当提交在宣称的有效期内以及运输储存条件下的研究资料。</w:t>
      </w:r>
    </w:p>
    <w:p w14:paraId="752E4694">
      <w:pPr>
        <w:pStyle w:val="414"/>
        <w:spacing w:line="520" w:lineRule="exact"/>
        <w:outlineLvl w:val="2"/>
      </w:pPr>
      <w:r>
        <w:t>9.声能安全研究</w:t>
      </w:r>
    </w:p>
    <w:p w14:paraId="0B569FB8">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声能安全，在满足GB 9706.237的基础上，还应规定声能输出的限值，包括机械指数、热指数、空间峰值时间平均声强，以确保其安全性。应对声能输出限值设置的合理性进行分析，明确设定的依据，并提交设备实际声能输出能够满足限值要求的验证报告。限值的设定及测试的方法应参考业界通用的准则。</w:t>
      </w:r>
    </w:p>
    <w:p w14:paraId="153A0461">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申请变更注册时，应明确探头声能限值要求是否发生变化，提交产品变化后实际声能输出能够满足限值要求的验证报告。不仅需要关注新主机和新探头的情形，对原有探头设计变化、增加的新的成像功能及模式和临床应用部位、原有成像功能发生改变、软件算法变化等对声输出的影响，都应进行重新评估。</w:t>
      </w:r>
    </w:p>
    <w:p w14:paraId="6DC6A8FE">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10.免于临床评价资料</w:t>
      </w:r>
    </w:p>
    <w:p w14:paraId="794E1B78">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符合《免于临床评价医疗器械目录》的产品或功能，按照《列入免于临床评价医疗器械目录产品对比说明技术指导原则》开展等同性论证。</w:t>
      </w:r>
    </w:p>
    <w:p w14:paraId="4480CCE5">
      <w:pPr>
        <w:spacing w:line="520" w:lineRule="exact"/>
        <w:ind w:firstLine="640" w:firstLineChars="200"/>
        <w:jc w:val="left"/>
        <w:outlineLvl w:val="1"/>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（四）临床评价资料</w:t>
      </w:r>
    </w:p>
    <w:p w14:paraId="1C41423D">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应按照《影像型超声诊断设备同品种临床评价技术审查指导原则》及《医疗器械临床评价技术指导原则》的要求提交临床评价资料。</w:t>
      </w:r>
    </w:p>
    <w:p w14:paraId="0E96D7DC">
      <w:pPr>
        <w:spacing w:line="520" w:lineRule="exact"/>
        <w:ind w:firstLine="640" w:firstLineChars="200"/>
        <w:jc w:val="left"/>
        <w:outlineLvl w:val="1"/>
        <w:rPr>
          <w:rFonts w:ascii="Times New Roman" w:hAnsi="Times New Roman" w:cs="Times New Roman"/>
        </w:rPr>
      </w:pPr>
      <w:r>
        <w:rPr>
          <w:rFonts w:ascii="Times New Roman" w:hAnsi="Times New Roman" w:eastAsia="楷体_GB2312" w:cs="Times New Roman"/>
          <w:color w:val="000000"/>
          <w:sz w:val="32"/>
          <w:szCs w:val="32"/>
        </w:rPr>
        <w:t>（五）产品说明书和标签样稿</w:t>
      </w:r>
    </w:p>
    <w:p w14:paraId="4BE3C127">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 w:cs="Times New Roman"/>
          <w:bCs/>
          <w:sz w:val="32"/>
          <w:szCs w:val="32"/>
        </w:rPr>
        <w:t>1.</w:t>
      </w:r>
      <w:bookmarkStart w:id="8" w:name="_Toc239049120"/>
      <w:r>
        <w:rPr>
          <w:rFonts w:ascii="Times New Roman" w:hAnsi="Times New Roman" w:eastAsia="仿宋" w:cs="Times New Roman"/>
          <w:bCs/>
          <w:sz w:val="32"/>
          <w:szCs w:val="32"/>
        </w:rPr>
        <w:t>应当提供拟申报范围内所有型号的说明书，应覆盖所申</w:t>
      </w:r>
      <w:r>
        <w:rPr>
          <w:rFonts w:ascii="Times New Roman" w:hAnsi="Times New Roman" w:eastAsia="仿宋_GB2312" w:cs="Times New Roman"/>
          <w:bCs/>
          <w:sz w:val="32"/>
          <w:szCs w:val="32"/>
        </w:rPr>
        <w:t>请的所有组成部分。</w:t>
      </w:r>
      <w:bookmarkEnd w:id="8"/>
    </w:p>
    <w:p w14:paraId="7B75D1C7">
      <w:pPr>
        <w:widowControl/>
        <w:spacing w:line="520" w:lineRule="exact"/>
        <w:ind w:firstLine="640" w:firstLineChars="200"/>
        <w:jc w:val="left"/>
        <w:rPr>
          <w:rFonts w:ascii="Times New Roman" w:hAnsi="Times New Roman" w:eastAsia="仿宋_GB2312" w:cs="Times New Roman"/>
          <w:bCs/>
          <w:sz w:val="32"/>
          <w:szCs w:val="32"/>
        </w:rPr>
      </w:pPr>
      <w:bookmarkStart w:id="9" w:name="_Toc239049121"/>
      <w:r>
        <w:rPr>
          <w:rFonts w:ascii="Times New Roman" w:hAnsi="Times New Roman" w:eastAsia="仿宋_GB2312" w:cs="Times New Roman"/>
          <w:bCs/>
          <w:sz w:val="32"/>
          <w:szCs w:val="32"/>
        </w:rPr>
        <w:t>2</w:t>
      </w:r>
      <w:r>
        <w:rPr>
          <w:rFonts w:ascii="Times New Roman" w:hAnsi="Times New Roman" w:eastAsia="仿宋" w:cs="Times New Roman"/>
          <w:bCs/>
          <w:sz w:val="32"/>
          <w:szCs w:val="32"/>
        </w:rPr>
        <w:t>.</w:t>
      </w:r>
      <w:r>
        <w:rPr>
          <w:rFonts w:ascii="Times New Roman" w:hAnsi="Times New Roman" w:eastAsia="仿宋_GB2312" w:cs="Times New Roman"/>
          <w:bCs/>
          <w:sz w:val="32"/>
          <w:szCs w:val="32"/>
        </w:rPr>
        <w:t>应当符合《医疗器械说明书和标签管理规定》、GB 10152、GB 9706.1和GB 9706.237等适用标准中的要求，且至少应包括以下内容：</w:t>
      </w:r>
      <w:bookmarkEnd w:id="9"/>
    </w:p>
    <w:p w14:paraId="71FDAC9C">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2.1产品组成、规格、型号。</w:t>
      </w:r>
    </w:p>
    <w:p w14:paraId="2BD3DD7A">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2.2操作手册中应包含有关器械使用的临床说明。应对器械适应证做出规定。写明每个探头所有模式、功能的临床适用范围，可以表格形式列出，格式可参考附件</w:t>
      </w: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rPr>
        <w:t>2 临床适用范围表格。</w:t>
      </w:r>
    </w:p>
    <w:p w14:paraId="79E44E15">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2.3应详细规定禁忌证（如适用）、警告、警惕以及处方器械声明（说明应在合法管理设备从业者指导下安全使用所声称的功能）。包括但不限于：</w:t>
      </w:r>
    </w:p>
    <w:p w14:paraId="469487BF">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2.3.1依据ALARA原则（As Low As Reasonably Ach</w:t>
      </w:r>
      <w:r>
        <w:rPr>
          <w:rFonts w:ascii="Times New Roman" w:hAnsi="Times New Roman" w:eastAsia="宋体" w:cs="Times New Roman"/>
          <w:bCs/>
          <w:sz w:val="32"/>
          <w:szCs w:val="32"/>
        </w:rPr>
        <w:t>i</w:t>
      </w:r>
      <w:r>
        <w:rPr>
          <w:rFonts w:ascii="Times New Roman" w:hAnsi="Times New Roman" w:eastAsia="仿宋_GB2312" w:cs="Times New Roman"/>
          <w:bCs/>
          <w:sz w:val="32"/>
          <w:szCs w:val="32"/>
        </w:rPr>
        <w:t>evable,合理可行尽量低原则）谨慎进行超声检查的注意事项；</w:t>
      </w:r>
    </w:p>
    <w:p w14:paraId="4B2877A3">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2.3.2器械“不用于胎儿”、“不用于眼部”的注意（若适用）；</w:t>
      </w:r>
    </w:p>
    <w:p w14:paraId="6A828C77">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2.3.3器械在发生故障时的警告说明，显示屏或其他系统的反应；</w:t>
      </w:r>
    </w:p>
    <w:p w14:paraId="2D53B2C8">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2.3.4使用含气型超声造影剂进行检查或研究（如血流灌注）时应予以注意的警示，例如在诊断常用的机械指数（MI）值时观察到心律失常等不良事件；</w:t>
      </w:r>
    </w:p>
    <w:p w14:paraId="7EFE7EAA">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2.3.5支持特殊诊断的声明的适当数据。</w:t>
      </w:r>
    </w:p>
    <w:p w14:paraId="044E4210">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2.4确定与设备兼容的附件、工具和部件。提供附件的技术规格。当推荐使用探头护套时，应当提示医生/操作人员使用前检查护套是否存在破损、被污染等问题，如是应立即弃用；使用过程中如发现患者发生过敏、刺激反应等情况，应立即停止使用。</w:t>
      </w:r>
    </w:p>
    <w:p w14:paraId="12BDD7D6">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2.5声输出公布相关内容，应当符合GB 9706.237的要求。并应公布声能输出的限值。</w:t>
      </w:r>
    </w:p>
    <w:p w14:paraId="180DDAFA">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2.6介绍设备在使用前的准备方法和使用后的维护方法，包括所有部件贮藏、清洁、消毒和灭菌（如适用）的相关内容。</w:t>
      </w:r>
    </w:p>
    <w:p w14:paraId="66965F11">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2.6.1建议使用合法上市的液体消毒或灭菌清洁剂过程时，明确该清洁剂的要求，或者说明使用方法与该清洁剂的说明书一致。</w:t>
      </w:r>
    </w:p>
    <w:p w14:paraId="31C9FC7F">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2.6.2对于可重复使用的设备，当介绍清洁、低水平消毒、高水平消毒或灭菌等步骤时，应向使用者提供详细的指导。</w:t>
      </w:r>
    </w:p>
    <w:p w14:paraId="2CE86E80">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2.7根据探头的预期用途（如经直肠、经食道、术中、经阴道等），应在说明书中增加安全性和有效性相关内容。神经外科的术中探头（如与硬脑脊膜或任何颅内组织接触的探头）应在说明书中给出以下附加标识：</w:t>
      </w:r>
    </w:p>
    <w:p w14:paraId="6BE40096">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2.7.1建议使用经消毒的非热原质的护套或外壳；</w:t>
      </w:r>
    </w:p>
    <w:p w14:paraId="24F75D66">
      <w:pPr>
        <w:shd w:val="clear" w:color="auto" w:fill="FFFFFF"/>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2.7.2警告在患有或疑似患有克雅氏病（CJD）的病人身上使用探头所潜在的问题。护套并不能有效防止探头污染。暴露在患有或疑似CJD或vCJD（变异型克雅氏病）患者中枢神经系统组织的探头应根据医疗机构相关法规及技术规范进行处理。其中，继续使用的探头，应提交相应处理方式清洗消毒灭菌研究及稳定性研究，否则应予销毁。制造商根据研究情况在说明书给出相应的风险及处理提示。</w:t>
      </w:r>
    </w:p>
    <w:p w14:paraId="28FB9162">
      <w:pPr>
        <w:widowControl/>
        <w:spacing w:line="520" w:lineRule="exact"/>
        <w:ind w:firstLine="640" w:firstLineChars="200"/>
        <w:jc w:val="left"/>
        <w:rPr>
          <w:rFonts w:ascii="Times New Roman" w:hAnsi="Times New Roman" w:eastAsia="仿宋_GB2312" w:cs="Times New Roman"/>
          <w:bCs/>
          <w:sz w:val="32"/>
          <w:szCs w:val="32"/>
        </w:rPr>
      </w:pPr>
      <w:bookmarkStart w:id="10" w:name="_Toc239049122"/>
      <w:r>
        <w:rPr>
          <w:rFonts w:ascii="Times New Roman" w:hAnsi="Times New Roman" w:eastAsia="仿宋_GB2312" w:cs="Times New Roman"/>
          <w:bCs/>
          <w:sz w:val="32"/>
          <w:szCs w:val="32"/>
        </w:rPr>
        <w:t>3.对于包含在说明书的产品组成、规格型号中，但未拟在中国上市的部件，制造商应当出具这些部件不在拟申报范围内的声明，并在说明书上说明。</w:t>
      </w:r>
      <w:bookmarkEnd w:id="10"/>
    </w:p>
    <w:p w14:paraId="560531CB">
      <w:pPr>
        <w:widowControl/>
        <w:spacing w:line="520" w:lineRule="exact"/>
        <w:ind w:firstLine="640" w:firstLineChars="200"/>
        <w:rPr>
          <w:rFonts w:ascii="Times New Roman" w:hAnsi="Times New Roman" w:eastAsia="仿宋_GB2312" w:cs="Times New Roman"/>
          <w:bCs/>
          <w:sz w:val="32"/>
          <w:szCs w:val="32"/>
        </w:rPr>
      </w:pPr>
      <w:bookmarkStart w:id="11" w:name="_Toc239049123"/>
      <w:r>
        <w:rPr>
          <w:rFonts w:ascii="Times New Roman" w:hAnsi="Times New Roman" w:eastAsia="仿宋_GB2312" w:cs="Times New Roman"/>
          <w:bCs/>
          <w:sz w:val="32"/>
          <w:szCs w:val="32"/>
        </w:rPr>
        <w:t>4.与申报产品一起使用的其他医疗器械或不属于医疗器械的产品的描述，在说明书中应要求所连接设备应符合相应的安全标准，并要求与该器械连接使用组成的系统所应符合相应的安全标准，及其他必要的信息。</w:t>
      </w:r>
      <w:bookmarkEnd w:id="11"/>
    </w:p>
    <w:p w14:paraId="205426BE">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5.应给出产品的使用期限。</w:t>
      </w:r>
    </w:p>
    <w:p w14:paraId="575F1360">
      <w:pPr>
        <w:widowControl/>
        <w:spacing w:line="52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6.应给出最小销售单元的标签样稿，如主机、探头、穿刺架等。</w:t>
      </w:r>
    </w:p>
    <w:p w14:paraId="7577273C">
      <w:pPr>
        <w:spacing w:line="520" w:lineRule="exact"/>
        <w:ind w:firstLine="640" w:firstLineChars="200"/>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三、参考文献</w:t>
      </w:r>
    </w:p>
    <w:p w14:paraId="77290F12">
      <w:pPr>
        <w:spacing w:line="520" w:lineRule="exact"/>
        <w:ind w:firstLine="707" w:firstLineChars="221"/>
        <w:rPr>
          <w:rFonts w:ascii="Times New Roman" w:hAnsi="Times New Roman" w:eastAsia="仿宋_GB2312" w:cs="Times New Roman"/>
          <w:bCs/>
          <w:sz w:val="32"/>
          <w:szCs w:val="32"/>
        </w:rPr>
      </w:pPr>
      <w:r>
        <w:rPr>
          <w:rFonts w:ascii="Times New Roman" w:hAnsi="Times New Roman" w:eastAsia="仿宋_GB2312" w:cs="Times New Roman"/>
          <w:bCs/>
          <w:sz w:val="32"/>
          <w:szCs w:val="32"/>
        </w:rPr>
        <w:t>[1]国家市场监督管理总局.医疗器械注册与备案管理办法；国家市场监督管理总局令第47号[Z].</w:t>
      </w:r>
    </w:p>
    <w:p w14:paraId="7D34237D">
      <w:pPr>
        <w:spacing w:line="520" w:lineRule="exact"/>
        <w:ind w:firstLine="707" w:firstLineChars="221"/>
        <w:rPr>
          <w:rFonts w:ascii="Times New Roman" w:hAnsi="Times New Roman" w:eastAsia="仿宋_GB2312" w:cs="Times New Roman"/>
          <w:bCs/>
          <w:sz w:val="32"/>
          <w:szCs w:val="32"/>
        </w:rPr>
      </w:pPr>
      <w:r>
        <w:rPr>
          <w:rFonts w:ascii="Times New Roman" w:hAnsi="Times New Roman" w:eastAsia="仿宋_GB2312" w:cs="Times New Roman"/>
          <w:bCs/>
          <w:sz w:val="32"/>
          <w:szCs w:val="32"/>
        </w:rPr>
        <w:t>[2]原国家食品药品监督管理总局.医疗器械说明书和标签管理规定；国家食品药品监督管理总局令第6号[Z].</w:t>
      </w:r>
    </w:p>
    <w:p w14:paraId="54427FA6">
      <w:pPr>
        <w:spacing w:line="500" w:lineRule="exact"/>
        <w:ind w:firstLine="707" w:firstLineChars="221"/>
        <w:rPr>
          <w:rFonts w:ascii="Times New Roman" w:hAnsi="Times New Roman" w:eastAsia="仿宋_GB2312" w:cs="Times New Roman"/>
          <w:bCs/>
          <w:sz w:val="32"/>
          <w:szCs w:val="32"/>
        </w:rPr>
      </w:pPr>
      <w:r>
        <w:rPr>
          <w:rFonts w:ascii="Times New Roman" w:hAnsi="Times New Roman" w:eastAsia="仿宋_GB2312" w:cs="Times New Roman"/>
          <w:bCs/>
          <w:sz w:val="32"/>
          <w:szCs w:val="32"/>
        </w:rPr>
        <w:t>[3]国家药品监督管理局.医疗器械注册申报资料要求和批准证明文件格式；国家药监局公告2021年第121号[Z].</w:t>
      </w:r>
    </w:p>
    <w:p w14:paraId="1627EC48">
      <w:pPr>
        <w:spacing w:line="500" w:lineRule="exact"/>
        <w:ind w:firstLine="707" w:firstLineChars="221"/>
        <w:rPr>
          <w:rFonts w:ascii="Times New Roman" w:hAnsi="Times New Roman" w:eastAsia="仿宋_GB2312" w:cs="Times New Roman"/>
          <w:bCs/>
          <w:sz w:val="32"/>
          <w:szCs w:val="32"/>
        </w:rPr>
      </w:pPr>
      <w:r>
        <w:rPr>
          <w:rFonts w:ascii="Times New Roman" w:hAnsi="Times New Roman" w:eastAsia="仿宋_GB2312" w:cs="Times New Roman"/>
          <w:bCs/>
          <w:sz w:val="32"/>
          <w:szCs w:val="32"/>
        </w:rPr>
        <w:t>[4]国家药品监督管理局.医疗器械产品技术要求编写指导原则；国家药监局通告2022年第8号[Z].</w:t>
      </w:r>
    </w:p>
    <w:p w14:paraId="14A04BFE">
      <w:pPr>
        <w:spacing w:line="500" w:lineRule="exact"/>
        <w:ind w:firstLine="707" w:firstLineChars="221"/>
        <w:rPr>
          <w:rFonts w:ascii="Times New Roman" w:hAnsi="Times New Roman" w:eastAsia="仿宋_GB2312" w:cs="Times New Roman"/>
          <w:bCs/>
          <w:sz w:val="32"/>
          <w:szCs w:val="32"/>
        </w:rPr>
      </w:pPr>
      <w:r>
        <w:rPr>
          <w:rFonts w:ascii="Times New Roman" w:hAnsi="Times New Roman" w:eastAsia="仿宋_GB2312" w:cs="Times New Roman"/>
          <w:bCs/>
          <w:sz w:val="32"/>
          <w:szCs w:val="32"/>
        </w:rPr>
        <w:t>[5]国家药品监督管理局医疗器械审评中心.医疗器械软件注册审查指导原则（2022年修订版）；国家药监局器审中心通告2022年第9号[Z].</w:t>
      </w:r>
    </w:p>
    <w:p w14:paraId="64900DD6">
      <w:pPr>
        <w:spacing w:line="500" w:lineRule="exact"/>
        <w:ind w:firstLine="707" w:firstLineChars="221"/>
        <w:rPr>
          <w:rFonts w:ascii="Times New Roman" w:hAnsi="Times New Roman" w:eastAsia="仿宋_GB2312" w:cs="Times New Roman"/>
          <w:bCs/>
          <w:sz w:val="32"/>
          <w:szCs w:val="32"/>
        </w:rPr>
      </w:pPr>
      <w:r>
        <w:rPr>
          <w:rFonts w:ascii="Times New Roman" w:hAnsi="Times New Roman" w:eastAsia="仿宋_GB2312" w:cs="Times New Roman"/>
          <w:bCs/>
          <w:sz w:val="32"/>
          <w:szCs w:val="32"/>
        </w:rPr>
        <w:t>[6]国家食品药品监督管理局.医疗器械分类目录；国家食品药品监督管理总局公告2017年第104号[Z].</w:t>
      </w:r>
    </w:p>
    <w:p w14:paraId="056FBE49">
      <w:pPr>
        <w:spacing w:line="500" w:lineRule="exact"/>
        <w:ind w:firstLine="707" w:firstLineChars="221"/>
        <w:rPr>
          <w:rFonts w:ascii="Times New Roman" w:hAnsi="Times New Roman" w:eastAsia="仿宋_GB2312" w:cs="Times New Roman"/>
          <w:bCs/>
          <w:sz w:val="32"/>
          <w:szCs w:val="32"/>
        </w:rPr>
      </w:pPr>
      <w:r>
        <w:rPr>
          <w:rFonts w:ascii="Times New Roman" w:hAnsi="Times New Roman" w:eastAsia="仿宋_GB2312" w:cs="Times New Roman"/>
          <w:bCs/>
          <w:sz w:val="32"/>
          <w:szCs w:val="32"/>
        </w:rPr>
        <w:t>[7]国家食品药品监督管理局.医疗器械通用名称命名规则；国家食品药品监督管理总局令第19号[Z].</w:t>
      </w:r>
    </w:p>
    <w:p w14:paraId="2AE3AD72">
      <w:pPr>
        <w:spacing w:line="500" w:lineRule="exact"/>
        <w:ind w:firstLine="707" w:firstLineChars="221"/>
        <w:rPr>
          <w:rFonts w:ascii="Times New Roman" w:hAnsi="Times New Roman" w:eastAsia="仿宋_GB2312" w:cs="Times New Roman"/>
          <w:bCs/>
          <w:sz w:val="32"/>
          <w:szCs w:val="32"/>
        </w:rPr>
      </w:pPr>
      <w:r>
        <w:rPr>
          <w:rFonts w:ascii="Times New Roman" w:hAnsi="Times New Roman" w:eastAsia="仿宋_GB2312" w:cs="Times New Roman"/>
          <w:bCs/>
          <w:sz w:val="32"/>
          <w:szCs w:val="32"/>
        </w:rPr>
        <w:t>[8]国家药品监督管理局医疗器械审评中心；人工智能医疗器械注册审查指导原则:国家药监局器审中心通告2022年第8号[Z].</w:t>
      </w:r>
    </w:p>
    <w:p w14:paraId="7B81A75B">
      <w:pPr>
        <w:spacing w:line="500" w:lineRule="exact"/>
        <w:ind w:firstLine="707" w:firstLineChars="221"/>
        <w:rPr>
          <w:rFonts w:ascii="Times New Roman" w:hAnsi="Times New Roman" w:eastAsia="仿宋_GB2312" w:cs="Times New Roman"/>
          <w:bCs/>
          <w:sz w:val="32"/>
          <w:szCs w:val="32"/>
        </w:rPr>
      </w:pPr>
      <w:r>
        <w:rPr>
          <w:rFonts w:ascii="Times New Roman" w:hAnsi="Times New Roman" w:eastAsia="仿宋_GB2312" w:cs="Times New Roman"/>
          <w:bCs/>
          <w:sz w:val="32"/>
          <w:szCs w:val="32"/>
        </w:rPr>
        <w:t>[9]国家药品监督管理局医疗器械审评中心.医疗器械网络安全注册审查指导原则（2022年修订版）；国家药监局器审中心通告2022年第7号[Z].</w:t>
      </w:r>
    </w:p>
    <w:p w14:paraId="37FE500F">
      <w:pPr>
        <w:spacing w:line="500" w:lineRule="exact"/>
        <w:ind w:firstLine="707" w:firstLineChars="221"/>
        <w:rPr>
          <w:rFonts w:ascii="Times New Roman" w:hAnsi="Times New Roman" w:eastAsia="仿宋_GB2312" w:cs="Times New Roman"/>
          <w:bCs/>
          <w:sz w:val="32"/>
          <w:szCs w:val="32"/>
        </w:rPr>
      </w:pPr>
      <w:r>
        <w:rPr>
          <w:rFonts w:ascii="Times New Roman" w:hAnsi="Times New Roman" w:eastAsia="仿宋_GB2312" w:cs="Times New Roman"/>
          <w:bCs/>
          <w:sz w:val="32"/>
          <w:szCs w:val="32"/>
        </w:rPr>
        <w:t>[10]总局关于发布移动医疗器械注册技术审查指导原则的通告；2017年第222号[Z].</w:t>
      </w:r>
    </w:p>
    <w:p w14:paraId="32522EFC">
      <w:pPr>
        <w:spacing w:line="500" w:lineRule="exact"/>
        <w:ind w:firstLine="707" w:firstLineChars="221"/>
        <w:rPr>
          <w:rFonts w:ascii="Times New Roman" w:hAnsi="Times New Roman" w:eastAsia="仿宋_GB2312" w:cs="Times New Roman"/>
          <w:bCs/>
          <w:sz w:val="32"/>
          <w:szCs w:val="32"/>
        </w:rPr>
      </w:pPr>
      <w:r>
        <w:rPr>
          <w:rFonts w:ascii="Times New Roman" w:hAnsi="Times New Roman" w:eastAsia="仿宋_GB2312" w:cs="Times New Roman"/>
          <w:bCs/>
          <w:sz w:val="32"/>
          <w:szCs w:val="32"/>
        </w:rPr>
        <w:t>[11]GB/T 42062,医疗器械 风险管理对医疗器械的应用[S].</w:t>
      </w:r>
    </w:p>
    <w:p w14:paraId="15E143BB">
      <w:pPr>
        <w:spacing w:line="500" w:lineRule="exact"/>
        <w:ind w:firstLine="707" w:firstLineChars="221"/>
        <w:rPr>
          <w:rFonts w:ascii="Times New Roman" w:hAnsi="Times New Roman" w:eastAsia="仿宋_GB2312" w:cs="Times New Roman"/>
          <w:bCs/>
          <w:sz w:val="32"/>
          <w:szCs w:val="32"/>
        </w:rPr>
      </w:pPr>
      <w:r>
        <w:rPr>
          <w:rFonts w:ascii="Times New Roman" w:hAnsi="Times New Roman" w:eastAsia="仿宋_GB2312" w:cs="Times New Roman"/>
          <w:bCs/>
          <w:sz w:val="32"/>
          <w:szCs w:val="32"/>
        </w:rPr>
        <w:t>[12]国家药监局关于发布影像型超声诊断设备同品种临床评价技术审查指导原则等2项注册技术审查指导原则的通告；2021年第2号[Z].</w:t>
      </w:r>
    </w:p>
    <w:p w14:paraId="0397D1B6">
      <w:pPr>
        <w:spacing w:line="500" w:lineRule="exact"/>
        <w:ind w:firstLine="707" w:firstLineChars="221"/>
        <w:rPr>
          <w:rFonts w:ascii="Times New Roman" w:hAnsi="Times New Roman" w:eastAsia="仿宋_GB2312" w:cs="Times New Roman"/>
          <w:bCs/>
          <w:sz w:val="32"/>
          <w:szCs w:val="32"/>
        </w:rPr>
        <w:sectPr>
          <w:footerReference r:id="rId3" w:type="default"/>
          <w:footerReference r:id="rId4" w:type="even"/>
          <w:pgSz w:w="11906" w:h="16838"/>
          <w:pgMar w:top="1758" w:right="1531" w:bottom="1588" w:left="1531" w:header="851" w:footer="850" w:gutter="0"/>
          <w:pgNumType w:start="3"/>
          <w:cols w:space="425" w:num="1"/>
          <w:docGrid w:type="lines" w:linePitch="312" w:charSpace="0"/>
        </w:sectPr>
      </w:pPr>
      <w:r>
        <w:rPr>
          <w:rFonts w:ascii="Times New Roman" w:hAnsi="Times New Roman" w:eastAsia="仿宋_GB2312" w:cs="Times New Roman"/>
          <w:bCs/>
          <w:sz w:val="32"/>
          <w:szCs w:val="32"/>
        </w:rPr>
        <w:t>[13]国家药监局器审中心关于发布影像超声人工智能软件（流程优化类功能）技术审评要点等4个审评要点的通告；2023年第23号.</w:t>
      </w:r>
    </w:p>
    <w:p w14:paraId="7D570AFB">
      <w:pPr>
        <w:spacing w:line="600" w:lineRule="exact"/>
        <w:outlineLvl w:val="0"/>
        <w:rPr>
          <w:rFonts w:ascii="Times New Roman" w:hAnsi="Times New Roman" w:eastAsia="黑体" w:cs="Times New Roman"/>
          <w:sz w:val="32"/>
          <w:szCs w:val="32"/>
        </w:rPr>
      </w:pPr>
      <w:r>
        <w:rPr>
          <w:rFonts w:ascii="Times New Roman" w:hAnsi="Times New Roman" w:eastAsia="黑体" w:cs="Times New Roman"/>
          <w:sz w:val="32"/>
          <w:szCs w:val="32"/>
        </w:rPr>
        <w:t>附件1-1</w:t>
      </w:r>
    </w:p>
    <w:p w14:paraId="03005ECD">
      <w:pPr>
        <w:pStyle w:val="2"/>
        <w:spacing w:line="600" w:lineRule="exact"/>
      </w:pPr>
    </w:p>
    <w:p w14:paraId="0F4D2D42">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医疗器械安全和性能的基本原则举例</w:t>
      </w:r>
    </w:p>
    <w:p w14:paraId="71C5B1A3">
      <w:pPr>
        <w:pStyle w:val="2"/>
        <w:spacing w:line="600" w:lineRule="exact"/>
      </w:pPr>
      <w:r>
        <mc:AlternateContent>
          <mc:Choice Requires="wps">
            <w:drawing>
              <wp:anchor distT="0" distB="0" distL="114300" distR="114300" simplePos="0" relativeHeight="251659264" behindDoc="0" locked="0" layoutInCell="1" allowOverlap="1">
                <wp:simplePos x="0" y="0"/>
                <wp:positionH relativeFrom="column">
                  <wp:posOffset>7773670</wp:posOffset>
                </wp:positionH>
                <wp:positionV relativeFrom="paragraph">
                  <wp:posOffset>4666615</wp:posOffset>
                </wp:positionV>
                <wp:extent cx="942975" cy="247650"/>
                <wp:effectExtent l="0" t="0" r="28575" b="19050"/>
                <wp:wrapNone/>
                <wp:docPr id="1" name="圆角矩形 1"/>
                <wp:cNvGraphicFramePr/>
                <a:graphic xmlns:a="http://schemas.openxmlformats.org/drawingml/2006/main">
                  <a:graphicData uri="http://schemas.microsoft.com/office/word/2010/wordprocessingShape">
                    <wps:wsp>
                      <wps:cNvSpPr/>
                      <wps:spPr>
                        <a:xfrm>
                          <a:off x="0" y="0"/>
                          <a:ext cx="942975" cy="2476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12.1pt;margin-top:367.45pt;height:19.5pt;width:74.25pt;z-index:251659264;v-text-anchor:middle;mso-width-relative:page;mso-height-relative:page;" fillcolor="#FFFFFF [3212]" filled="t" stroked="t" coordsize="21600,21600" arcsize="0.166666666666667" o:gfxdata="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qlCz8NwAAAANAQAADwAAAAAAAAABACAAAAAiAAAAZHJzL2Rv&#10;d25yZXYueG1sUEsBAhQAFAAAAAgAh07iQLZoetBvAgAA5wQAAA4AAAAAAAAAAQAgAAAAKwEAAGRy&#10;cy9lMm9Eb2MueG1sUEsFBgAAAAAGAAYAWQEAAAwGAAAAAA==&#10;">
                <v:fill on="t" focussize="0,0"/>
                <v:stroke weight="2pt" color="#FFFFFF [3212]" joinstyle="round"/>
                <v:imagedata o:title=""/>
                <o:lock v:ext="edit" aspectratio="f"/>
              </v:roundrect>
            </w:pict>
          </mc:Fallback>
        </mc:AlternateContent>
      </w:r>
    </w:p>
    <w:tbl>
      <w:tblPr>
        <w:tblStyle w:val="88"/>
        <w:tblW w:w="13344" w:type="dxa"/>
        <w:tblInd w:w="11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77"/>
        <w:gridCol w:w="10266"/>
        <w:gridCol w:w="1701"/>
      </w:tblGrid>
      <w:tr w14:paraId="58069C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blHeader/>
        </w:trPr>
        <w:tc>
          <w:tcPr>
            <w:tcW w:w="1377" w:type="dxa"/>
            <w:shd w:val="clear" w:color="auto" w:fill="auto"/>
            <w:vAlign w:val="center"/>
          </w:tcPr>
          <w:p w14:paraId="1ECDEA03">
            <w:pPr>
              <w:widowControl/>
              <w:spacing w:line="400" w:lineRule="exact"/>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条款号</w:t>
            </w:r>
          </w:p>
        </w:tc>
        <w:tc>
          <w:tcPr>
            <w:tcW w:w="10266" w:type="dxa"/>
            <w:tcBorders>
              <w:bottom w:val="single" w:color="auto" w:sz="8" w:space="0"/>
            </w:tcBorders>
            <w:shd w:val="clear" w:color="auto" w:fill="auto"/>
            <w:vAlign w:val="center"/>
          </w:tcPr>
          <w:p w14:paraId="5C972EEF">
            <w:pPr>
              <w:widowControl/>
              <w:spacing w:line="400" w:lineRule="exact"/>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要求</w:t>
            </w:r>
          </w:p>
        </w:tc>
        <w:tc>
          <w:tcPr>
            <w:tcW w:w="1701" w:type="dxa"/>
            <w:tcBorders>
              <w:bottom w:val="single" w:color="auto" w:sz="8" w:space="0"/>
            </w:tcBorders>
            <w:shd w:val="clear" w:color="auto" w:fill="auto"/>
            <w:vAlign w:val="center"/>
          </w:tcPr>
          <w:p w14:paraId="2EF0695B">
            <w:pPr>
              <w:widowControl/>
              <w:spacing w:line="400" w:lineRule="exact"/>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适用</w:t>
            </w:r>
          </w:p>
        </w:tc>
      </w:tr>
      <w:tr w14:paraId="049936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8" w:hRule="atLeast"/>
        </w:trPr>
        <w:tc>
          <w:tcPr>
            <w:tcW w:w="1377" w:type="dxa"/>
            <w:shd w:val="clear" w:color="auto" w:fill="auto"/>
            <w:vAlign w:val="center"/>
          </w:tcPr>
          <w:p w14:paraId="10ABEFAC">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w:t>
            </w:r>
          </w:p>
        </w:tc>
        <w:tc>
          <w:tcPr>
            <w:tcW w:w="11967" w:type="dxa"/>
            <w:gridSpan w:val="2"/>
            <w:tcBorders>
              <w:bottom w:val="single" w:color="auto" w:sz="8" w:space="0"/>
              <w:right w:val="single" w:color="auto" w:sz="8" w:space="0"/>
            </w:tcBorders>
            <w:shd w:val="clear" w:color="auto" w:fill="auto"/>
            <w:vAlign w:val="center"/>
          </w:tcPr>
          <w:p w14:paraId="2F164671">
            <w:pPr>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安全和性能的通用基本原则</w:t>
            </w:r>
          </w:p>
        </w:tc>
      </w:tr>
      <w:tr w14:paraId="7396EC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8" w:hRule="atLeast"/>
        </w:trPr>
        <w:tc>
          <w:tcPr>
            <w:tcW w:w="1377" w:type="dxa"/>
            <w:shd w:val="clear" w:color="auto" w:fill="auto"/>
            <w:vAlign w:val="center"/>
          </w:tcPr>
          <w:p w14:paraId="04C49B8A">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w:t>
            </w:r>
          </w:p>
        </w:tc>
        <w:tc>
          <w:tcPr>
            <w:tcW w:w="11967" w:type="dxa"/>
            <w:gridSpan w:val="2"/>
            <w:tcBorders>
              <w:right w:val="single" w:color="auto" w:sz="8" w:space="0"/>
            </w:tcBorders>
            <w:shd w:val="clear" w:color="auto" w:fill="auto"/>
            <w:vAlign w:val="center"/>
          </w:tcPr>
          <w:p w14:paraId="058FAAC5">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一般原则</w:t>
            </w:r>
          </w:p>
        </w:tc>
      </w:tr>
      <w:tr w14:paraId="0E3DE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8" w:hRule="atLeast"/>
        </w:trPr>
        <w:tc>
          <w:tcPr>
            <w:tcW w:w="1377" w:type="dxa"/>
            <w:shd w:val="clear" w:color="auto" w:fill="auto"/>
            <w:vAlign w:val="center"/>
          </w:tcPr>
          <w:p w14:paraId="7FF91FE2">
            <w:pPr>
              <w:widowControl/>
              <w:spacing w:line="400" w:lineRule="exact"/>
              <w:jc w:val="center"/>
              <w:rPr>
                <w:rFonts w:ascii="Times New Roman" w:hAnsi="Times New Roman" w:eastAsia="宋体" w:cs="Times New Roman"/>
                <w:color w:val="000000"/>
                <w:kern w:val="0"/>
                <w:sz w:val="28"/>
                <w:szCs w:val="28"/>
              </w:rPr>
            </w:pPr>
            <w:r>
              <w:rPr>
                <w:rFonts w:ascii="Times New Roman" w:hAnsi="Times New Roman" w:eastAsia="仿宋_GB2312" w:cs="Times New Roman"/>
                <w:color w:val="000000"/>
                <w:kern w:val="0"/>
                <w:sz w:val="28"/>
                <w:szCs w:val="28"/>
              </w:rPr>
              <w:t>A1.1</w:t>
            </w:r>
          </w:p>
        </w:tc>
        <w:tc>
          <w:tcPr>
            <w:tcW w:w="10266" w:type="dxa"/>
            <w:shd w:val="clear" w:color="auto" w:fill="auto"/>
            <w:vAlign w:val="center"/>
          </w:tcPr>
          <w:p w14:paraId="13491EE9">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1701" w:type="dxa"/>
            <w:shd w:val="clear" w:color="auto" w:fill="auto"/>
            <w:vAlign w:val="center"/>
          </w:tcPr>
          <w:p w14:paraId="77338338">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5AF946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41" w:hRule="atLeast"/>
        </w:trPr>
        <w:tc>
          <w:tcPr>
            <w:tcW w:w="1377" w:type="dxa"/>
            <w:shd w:val="clear" w:color="auto" w:fill="auto"/>
            <w:vAlign w:val="center"/>
          </w:tcPr>
          <w:p w14:paraId="78A635AC">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A1.2</w:t>
            </w:r>
          </w:p>
        </w:tc>
        <w:tc>
          <w:tcPr>
            <w:tcW w:w="10266" w:type="dxa"/>
            <w:shd w:val="clear" w:color="auto" w:fill="auto"/>
            <w:vAlign w:val="center"/>
          </w:tcPr>
          <w:p w14:paraId="35496676">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14:paraId="38F409C2">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a)建立涵盖所有医疗器械风险管理计划并形成文件；</w:t>
            </w:r>
          </w:p>
          <w:p w14:paraId="482E895F">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b)识别并分析涵盖所有医疗器械的相关的已知和可预见的危险（源）；</w:t>
            </w:r>
          </w:p>
          <w:p w14:paraId="74E7B704">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c) 估计和评价在预期使用和可合理预见的误使用过程中，发生的相关风险；</w:t>
            </w:r>
            <w:r>
              <w:rPr>
                <w:rFonts w:ascii="Times New Roman" w:hAnsi="Times New Roman" w:eastAsia="仿宋_GB2312" w:cs="Times New Roman"/>
                <w:color w:val="000000"/>
                <w:kern w:val="0"/>
                <w:sz w:val="28"/>
                <w:szCs w:val="28"/>
              </w:rPr>
              <w:br w:type="textWrapping"/>
            </w:r>
            <w:r>
              <w:rPr>
                <w:rFonts w:ascii="Times New Roman" w:hAnsi="Times New Roman" w:eastAsia="仿宋_GB2312" w:cs="Times New Roman"/>
                <w:color w:val="000000"/>
                <w:kern w:val="0"/>
                <w:sz w:val="28"/>
                <w:szCs w:val="28"/>
              </w:rPr>
              <w:t>d)依据A1.3和A1.4相关要求，消除或控制c）点所述的风险；</w:t>
            </w:r>
          </w:p>
          <w:p w14:paraId="39EEC10B">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e) 评价生产和生产后阶段信息对综合风险、风险受益判定和风险可接受性的影响。上述评价应包括先前未识别的危险（源）或危险情况，由危险情况导致的一个或多个风险对可接受性的影响，以及对先进技术水平的改变等；</w:t>
            </w:r>
          </w:p>
          <w:p w14:paraId="1B660584">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f)基于对e)点所述信息影响的评价，必要时修改控制措施以符合A1.3和A1.4相关要求。</w:t>
            </w:r>
          </w:p>
        </w:tc>
        <w:tc>
          <w:tcPr>
            <w:tcW w:w="1701" w:type="dxa"/>
            <w:shd w:val="clear" w:color="auto" w:fill="auto"/>
            <w:vAlign w:val="center"/>
          </w:tcPr>
          <w:p w14:paraId="33EE6083">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1CEB89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19" w:hRule="atLeast"/>
        </w:trPr>
        <w:tc>
          <w:tcPr>
            <w:tcW w:w="1377" w:type="dxa"/>
            <w:shd w:val="clear" w:color="auto" w:fill="auto"/>
            <w:vAlign w:val="center"/>
          </w:tcPr>
          <w:p w14:paraId="28249FF1">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A1.3</w:t>
            </w:r>
          </w:p>
        </w:tc>
        <w:tc>
          <w:tcPr>
            <w:tcW w:w="10266" w:type="dxa"/>
            <w:shd w:val="clear" w:color="auto" w:fill="auto"/>
            <w:vAlign w:val="center"/>
          </w:tcPr>
          <w:p w14:paraId="5285D9EE">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的申请人在设计和生产过程中采取的风险控制措施，应遵循安全原则，采用先进技术。需要降低风险时，申请人应控制风险，确保每个危险（源）相关的剩余风险和总体剩余风险是可接受的。在选择最合适的解决方案时，申请人应按以下优先顺序进行：</w:t>
            </w:r>
          </w:p>
          <w:p w14:paraId="4DCBBF32">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 通过安全设计和生产消除或适当降低风险；</w:t>
            </w:r>
          </w:p>
          <w:p w14:paraId="168F4043">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 适用时，对无法消除的风险采取充分的防护措施，包括必要的警报；</w:t>
            </w:r>
          </w:p>
          <w:p w14:paraId="2018A018">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mc:AlternateContent>
                <mc:Choice Requires="wps">
                  <w:drawing>
                    <wp:anchor distT="0" distB="0" distL="114300" distR="114300" simplePos="0" relativeHeight="251664384" behindDoc="0" locked="0" layoutInCell="1" allowOverlap="1">
                      <wp:simplePos x="0" y="0"/>
                      <wp:positionH relativeFrom="column">
                        <wp:posOffset>-1032510</wp:posOffset>
                      </wp:positionH>
                      <wp:positionV relativeFrom="paragraph">
                        <wp:posOffset>821055</wp:posOffset>
                      </wp:positionV>
                      <wp:extent cx="800100" cy="419100"/>
                      <wp:effectExtent l="0" t="0" r="19050" b="19050"/>
                      <wp:wrapNone/>
                      <wp:docPr id="12" name="矩形 12"/>
                      <wp:cNvGraphicFramePr/>
                      <a:graphic xmlns:a="http://schemas.openxmlformats.org/drawingml/2006/main">
                        <a:graphicData uri="http://schemas.microsoft.com/office/word/2010/wordprocessingShape">
                          <wps:wsp>
                            <wps:cNvSpPr/>
                            <wps:spPr>
                              <a:xfrm>
                                <a:off x="0" y="0"/>
                                <a:ext cx="8001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3pt;margin-top:64.65pt;height:33pt;width:63pt;z-index:251664384;v-text-anchor:middle;mso-width-relative:page;mso-height-relative:page;" fillcolor="#FFFFFF [3212]" filled="t" stroked="t" coordsize="21600,21600" o:gfxdata="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Fwb4dsAAAAMAQAADwAAAAAAAAABACAAAAAiAAAAZHJzL2Rvd25yZXYueG1sUEsBAhQAFAAAAAgA&#10;h07iQJcj6F1bAgAA3gQAAA4AAAAAAAAAAQAgAAAAKgEAAGRycy9lMm9Eb2MueG1sUEsFBgAAAAAG&#10;AAYAWQEAAPcFAAAAAA==&#10;">
                      <v:fill on="t" focussize="0,0"/>
                      <v:stroke weight="2pt" color="#FFFFFF [3212]" joinstyle="round"/>
                      <v:imagedata o:title=""/>
                      <o:lock v:ext="edit" aspectratio="f"/>
                    </v:rect>
                  </w:pict>
                </mc:Fallback>
              </mc:AlternateContent>
            </w:r>
            <w:r>
              <w:rPr>
                <w:rFonts w:ascii="Times New Roman" w:hAnsi="Times New Roman" w:eastAsia="仿宋_GB2312" w:cs="Times New Roman"/>
                <w:color w:val="000000"/>
                <w:kern w:val="0"/>
                <w:sz w:val="28"/>
                <w:szCs w:val="28"/>
              </w:rPr>
              <w:t>c) 提供安</w:t>
            </w:r>
            <w:r>
              <w:rPr>
                <w:rFonts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226060</wp:posOffset>
                      </wp:positionV>
                      <wp:extent cx="942975" cy="247650"/>
                      <wp:effectExtent l="0" t="0" r="28575" b="19050"/>
                      <wp:wrapNone/>
                      <wp:docPr id="6" name="圆角矩形 6"/>
                      <wp:cNvGraphicFramePr/>
                      <a:graphic xmlns:a="http://schemas.openxmlformats.org/drawingml/2006/main">
                        <a:graphicData uri="http://schemas.microsoft.com/office/word/2010/wordprocessingShape">
                          <wps:wsp>
                            <wps:cNvSpPr/>
                            <wps:spPr>
                              <a:xfrm>
                                <a:off x="0" y="0"/>
                                <a:ext cx="942975" cy="2476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0.5pt;margin-top:17.8pt;height:19.5pt;width:74.25pt;z-index:251661312;v-text-anchor:middle;mso-width-relative:page;mso-height-relative:page;" fillcolor="#FFFFFF [3212]" filled="t" stroked="t" coordsize="21600,21600" arcsize="0.166666666666667" o:gfxdata="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CpernZAAAACAEAAA8AAAAAAAAAAQAgAAAAIgAAAGRycy9kb3du&#10;cmV2LnhtbFBLAQIUABQAAAAIAIdO4kBnsnCbcAIAAOcEAAAOAAAAAAAAAAEAIAAAACgBAABkcnMv&#10;ZTJvRG9jLnhtbFBLBQYAAAAABgAGAFkBAAAKBgAAAAA=&#10;">
                      <v:fill on="t" focussize="0,0"/>
                      <v:stroke weight="2pt" color="#FFFFFF [3212]" joinstyle="round"/>
                      <v:imagedata o:title=""/>
                      <o:lock v:ext="edit" aspectratio="f"/>
                    </v:roundrect>
                  </w:pict>
                </mc:Fallback>
              </mc:AlternateContent>
            </w:r>
            <w:r>
              <w:rPr>
                <w:rFonts w:ascii="Times New Roman" w:hAnsi="Times New Roman" w:eastAsia="仿宋_GB2312" w:cs="Times New Roman"/>
                <w:color w:val="000000"/>
                <w:kern w:val="0"/>
                <w:sz w:val="28"/>
                <w:szCs w:val="28"/>
              </w:rPr>
              <w:t>全信息（警告/预防措施/禁忌证），适当时，向使用者提供培训。</w:t>
            </w:r>
          </w:p>
        </w:tc>
        <w:tc>
          <w:tcPr>
            <w:tcW w:w="1701" w:type="dxa"/>
            <w:shd w:val="clear" w:color="auto" w:fill="auto"/>
            <w:vAlign w:val="center"/>
          </w:tcPr>
          <w:p w14:paraId="6BC26D64">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30C7A6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13110889">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A1.4</w:t>
            </w:r>
          </w:p>
        </w:tc>
        <w:tc>
          <w:tcPr>
            <w:tcW w:w="10266" w:type="dxa"/>
            <w:shd w:val="clear" w:color="auto" w:fill="auto"/>
            <w:vAlign w:val="center"/>
          </w:tcPr>
          <w:p w14:paraId="0F812B91">
            <w:pPr>
              <w:widowControl/>
              <w:spacing w:line="400" w:lineRule="exact"/>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申请人应告知使用者所有相关的剩余风险。</w:t>
            </w:r>
          </w:p>
        </w:tc>
        <w:tc>
          <w:tcPr>
            <w:tcW w:w="1701" w:type="dxa"/>
            <w:shd w:val="clear" w:color="auto" w:fill="auto"/>
            <w:vAlign w:val="center"/>
          </w:tcPr>
          <w:p w14:paraId="69710B34">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7DD2BA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0" w:hRule="atLeast"/>
        </w:trPr>
        <w:tc>
          <w:tcPr>
            <w:tcW w:w="1377" w:type="dxa"/>
            <w:shd w:val="clear" w:color="auto" w:fill="auto"/>
            <w:vAlign w:val="center"/>
          </w:tcPr>
          <w:p w14:paraId="763FEA56">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A1.5</w:t>
            </w:r>
          </w:p>
        </w:tc>
        <w:tc>
          <w:tcPr>
            <w:tcW w:w="10266" w:type="dxa"/>
            <w:shd w:val="clear" w:color="auto" w:fill="auto"/>
            <w:vAlign w:val="center"/>
          </w:tcPr>
          <w:p w14:paraId="0D0DD018">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在消除或降低与使用有关的风险时，申请人应该：</w:t>
            </w:r>
            <w:r>
              <w:rPr>
                <w:rFonts w:ascii="Times New Roman" w:hAnsi="Times New Roman" w:eastAsia="仿宋_GB2312" w:cs="Times New Roman"/>
                <w:color w:val="000000"/>
                <w:kern w:val="0"/>
                <w:sz w:val="28"/>
                <w:szCs w:val="28"/>
              </w:rPr>
              <w:br w:type="textWrapping"/>
            </w:r>
            <w:r>
              <w:rPr>
                <w:rFonts w:ascii="Times New Roman" w:hAnsi="Times New Roman" w:eastAsia="仿宋_GB2312" w:cs="Times New Roman"/>
                <w:color w:val="000000"/>
                <w:kern w:val="0"/>
                <w:sz w:val="28"/>
                <w:szCs w:val="28"/>
              </w:rPr>
              <w:t>a) 适当降低医疗器械的特性（如人体工程学/可用性）和预期使用环境（如灰尘和湿度）可能带来的风险；</w:t>
            </w:r>
            <w:r>
              <w:rPr>
                <w:rFonts w:ascii="Times New Roman" w:hAnsi="Times New Roman" w:eastAsia="仿宋_GB2312" w:cs="Times New Roman"/>
                <w:color w:val="000000"/>
                <w:kern w:val="0"/>
                <w:sz w:val="28"/>
                <w:szCs w:val="28"/>
              </w:rPr>
              <w:br w:type="textWrapping"/>
            </w:r>
            <w:r>
              <w:rPr>
                <w:rFonts w:ascii="Times New Roman" w:hAnsi="Times New Roman" w:eastAsia="仿宋_GB2312" w:cs="Times New Roman"/>
                <w:color w:val="000000"/>
                <w:kern w:val="0"/>
                <w:sz w:val="28"/>
                <w:szCs w:val="28"/>
              </w:rPr>
              <w:t>b) 考虑预期使用者的技术知识、经验、教育背景、培训、身体状况（如适用）以及使用环境。</w:t>
            </w:r>
          </w:p>
        </w:tc>
        <w:tc>
          <w:tcPr>
            <w:tcW w:w="1701" w:type="dxa"/>
            <w:shd w:val="clear" w:color="auto" w:fill="auto"/>
            <w:vAlign w:val="center"/>
          </w:tcPr>
          <w:p w14:paraId="65F4DD17">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41CE14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5" w:hRule="atLeast"/>
        </w:trPr>
        <w:tc>
          <w:tcPr>
            <w:tcW w:w="1377" w:type="dxa"/>
            <w:shd w:val="clear" w:color="auto" w:fill="auto"/>
            <w:vAlign w:val="center"/>
          </w:tcPr>
          <w:p w14:paraId="184150D3">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A1.6</w:t>
            </w:r>
          </w:p>
        </w:tc>
        <w:tc>
          <w:tcPr>
            <w:tcW w:w="10266" w:type="dxa"/>
            <w:shd w:val="clear" w:color="auto" w:fill="auto"/>
            <w:vAlign w:val="center"/>
          </w:tcPr>
          <w:p w14:paraId="1CC65B16">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在申请人规定的生命周期内，在正常使用、维护和校准（如适用）情况下，外力不应对医疗器械的特性和性能造成不利影响，以致损害患者、使用者及他人的健康和安全。</w:t>
            </w:r>
          </w:p>
        </w:tc>
        <w:tc>
          <w:tcPr>
            <w:tcW w:w="1701" w:type="dxa"/>
            <w:shd w:val="clear" w:color="auto" w:fill="auto"/>
            <w:vAlign w:val="center"/>
          </w:tcPr>
          <w:p w14:paraId="00A129D2">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28892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96" w:hRule="atLeast"/>
        </w:trPr>
        <w:tc>
          <w:tcPr>
            <w:tcW w:w="1377" w:type="dxa"/>
            <w:shd w:val="clear" w:color="auto" w:fill="auto"/>
            <w:vAlign w:val="center"/>
          </w:tcPr>
          <w:p w14:paraId="19E47B30">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A1.7</w:t>
            </w:r>
          </w:p>
        </w:tc>
        <w:tc>
          <w:tcPr>
            <w:tcW w:w="10266" w:type="dxa"/>
            <w:shd w:val="clear" w:color="auto" w:fill="auto"/>
            <w:vAlign w:val="center"/>
          </w:tcPr>
          <w:p w14:paraId="6D56A96A">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的设计、生产和包装，包括申请人所提供的说明和信息，应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1701" w:type="dxa"/>
            <w:shd w:val="clear" w:color="auto" w:fill="auto"/>
            <w:vAlign w:val="center"/>
          </w:tcPr>
          <w:p w14:paraId="30AE4490">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04EBD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6" w:hRule="atLeast"/>
        </w:trPr>
        <w:tc>
          <w:tcPr>
            <w:tcW w:w="1377" w:type="dxa"/>
            <w:shd w:val="clear" w:color="auto" w:fill="auto"/>
            <w:vAlign w:val="center"/>
          </w:tcPr>
          <w:p w14:paraId="30DBB93D">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A1.8</w:t>
            </w:r>
          </w:p>
        </w:tc>
        <w:tc>
          <w:tcPr>
            <w:tcW w:w="10266" w:type="dxa"/>
            <w:shd w:val="clear" w:color="auto" w:fill="auto"/>
            <w:vAlign w:val="center"/>
          </w:tcPr>
          <w:p w14:paraId="785E1387">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在货架有效期内、开封后的使用期间，以及运输或送货期间，医疗器械应具有可接受的稳定性。</w:t>
            </w:r>
          </w:p>
        </w:tc>
        <w:tc>
          <w:tcPr>
            <w:tcW w:w="1701" w:type="dxa"/>
            <w:shd w:val="clear" w:color="auto" w:fill="auto"/>
            <w:vAlign w:val="center"/>
          </w:tcPr>
          <w:p w14:paraId="4C200EFD">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mc:AlternateContent>
                <mc:Choice Requires="wps">
                  <w:drawing>
                    <wp:anchor distT="0" distB="0" distL="114300" distR="114300" simplePos="0" relativeHeight="251665408" behindDoc="0" locked="0" layoutInCell="1" allowOverlap="1">
                      <wp:simplePos x="0" y="0"/>
                      <wp:positionH relativeFrom="column">
                        <wp:posOffset>285750</wp:posOffset>
                      </wp:positionH>
                      <wp:positionV relativeFrom="paragraph">
                        <wp:posOffset>829945</wp:posOffset>
                      </wp:positionV>
                      <wp:extent cx="800100" cy="419100"/>
                      <wp:effectExtent l="0" t="0" r="19050" b="19050"/>
                      <wp:wrapNone/>
                      <wp:docPr id="13" name="矩形 13"/>
                      <wp:cNvGraphicFramePr/>
                      <a:graphic xmlns:a="http://schemas.openxmlformats.org/drawingml/2006/main">
                        <a:graphicData uri="http://schemas.microsoft.com/office/word/2010/wordprocessingShape">
                          <wps:wsp>
                            <wps:cNvSpPr/>
                            <wps:spPr>
                              <a:xfrm>
                                <a:off x="0" y="0"/>
                                <a:ext cx="8001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5pt;margin-top:65.35pt;height:33pt;width:63pt;z-index:251665408;v-text-anchor:middle;mso-width-relative:page;mso-height-relative:page;" fillcolor="#FFFFFF [3212]" filled="t" stroked="t" coordsize="21600,21600" o:gfxdata="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fmj&#10;WNkAAAAKAQAADwAAAAAAAAABACAAAAAiAAAAZHJzL2Rvd25yZXYueG1sUEsBAhQAFAAAAAgAh07i&#10;QKlhzytaAgAA3gQAAA4AAAAAAAAAAQAgAAAAKAEAAGRycy9lMm9Eb2MueG1sUEsFBgAAAAAGAAYA&#10;WQEAAPQFAAAAAA==&#10;">
                      <v:fill on="t" focussize="0,0"/>
                      <v:stroke weight="2pt" color="#FFFFFF [3212]" joinstyle="round"/>
                      <v:imagedata o:title=""/>
                      <o:lock v:ext="edit" aspectratio="f"/>
                    </v:rect>
                  </w:pict>
                </mc:Fallback>
              </mc:AlternateContent>
            </w:r>
            <w:r>
              <w:rPr>
                <w:rFonts w:ascii="Times New Roman" w:hAnsi="Times New Roman" w:eastAsia="仿宋_GB2312" w:cs="Times New Roman"/>
                <w:color w:val="000000"/>
                <w:kern w:val="0"/>
                <w:sz w:val="28"/>
                <w:szCs w:val="28"/>
              </w:rPr>
              <w:t>是</w:t>
            </w:r>
          </w:p>
        </w:tc>
      </w:tr>
      <w:tr w14:paraId="14AC71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3" w:hRule="atLeast"/>
        </w:trPr>
        <w:tc>
          <w:tcPr>
            <w:tcW w:w="1377" w:type="dxa"/>
            <w:shd w:val="clear" w:color="auto" w:fill="auto"/>
            <w:vAlign w:val="center"/>
          </w:tcPr>
          <w:p w14:paraId="67AE652D">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A1.9</w:t>
            </w:r>
          </w:p>
        </w:tc>
        <w:tc>
          <w:tcPr>
            <w:tcW w:w="10266" w:type="dxa"/>
            <w:tcBorders>
              <w:right w:val="single" w:color="auto" w:sz="4" w:space="0"/>
            </w:tcBorders>
            <w:shd w:val="clear" w:color="auto" w:fill="auto"/>
            <w:vAlign w:val="center"/>
          </w:tcPr>
          <w:p w14:paraId="286C6E81">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在正常使用条件下，基于当前先进技术水平，比较医疗器械性能带来的受益，所有已知的、可预见的风险以及任何不良副作用应最小化且可接受。</w:t>
            </w:r>
          </w:p>
        </w:tc>
        <w:tc>
          <w:tcPr>
            <w:tcW w:w="1701" w:type="dxa"/>
            <w:tcBorders>
              <w:left w:val="single" w:color="auto" w:sz="4" w:space="0"/>
            </w:tcBorders>
            <w:shd w:val="clear" w:color="auto" w:fill="auto"/>
            <w:vAlign w:val="center"/>
          </w:tcPr>
          <w:p w14:paraId="62D807B4">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14E91D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5" w:hRule="atLeast"/>
        </w:trPr>
        <w:tc>
          <w:tcPr>
            <w:tcW w:w="1377" w:type="dxa"/>
            <w:shd w:val="clear" w:color="auto" w:fill="auto"/>
            <w:vAlign w:val="center"/>
          </w:tcPr>
          <w:p w14:paraId="367C2E84">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A2</w:t>
            </w:r>
          </w:p>
        </w:tc>
        <w:tc>
          <w:tcPr>
            <w:tcW w:w="11967" w:type="dxa"/>
            <w:gridSpan w:val="2"/>
            <w:shd w:val="clear" w:color="auto" w:fill="auto"/>
            <w:vAlign w:val="center"/>
          </w:tcPr>
          <w:p w14:paraId="551154A5">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临床评价</w:t>
            </w:r>
          </w:p>
        </w:tc>
      </w:tr>
      <w:tr w14:paraId="40E904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42" w:hRule="atLeast"/>
        </w:trPr>
        <w:tc>
          <w:tcPr>
            <w:tcW w:w="1377" w:type="dxa"/>
            <w:shd w:val="clear" w:color="auto" w:fill="auto"/>
            <w:vAlign w:val="center"/>
          </w:tcPr>
          <w:p w14:paraId="61E6620C">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A2.1</w:t>
            </w:r>
          </w:p>
        </w:tc>
        <w:tc>
          <w:tcPr>
            <w:tcW w:w="10266" w:type="dxa"/>
            <w:tcBorders>
              <w:right w:val="single" w:color="auto" w:sz="4" w:space="0"/>
            </w:tcBorders>
            <w:shd w:val="clear" w:color="auto" w:fill="auto"/>
            <w:vAlign w:val="center"/>
          </w:tcPr>
          <w:p w14:paraId="5E4C52EE">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基于监管要求，医疗器械可能需要进行临床评价（如适用）。所谓临床评价，就是对临床数据进行评估，确定医疗器械具有可接受的风险受益比，包括以下几种形式：</w:t>
            </w:r>
            <w:r>
              <w:rPr>
                <w:rFonts w:ascii="Times New Roman" w:hAnsi="Times New Roman" w:eastAsia="仿宋_GB2312" w:cs="Times New Roman"/>
                <w:color w:val="000000"/>
                <w:kern w:val="0"/>
                <w:sz w:val="28"/>
                <w:szCs w:val="28"/>
              </w:rPr>
              <w:br w:type="textWrapping"/>
            </w:r>
            <w:r>
              <w:rPr>
                <w:rFonts w:ascii="Times New Roman" w:hAnsi="Times New Roman" w:eastAsia="仿宋_GB2312" w:cs="Times New Roman"/>
                <w:color w:val="000000"/>
                <w:kern w:val="0"/>
                <w:sz w:val="28"/>
                <w:szCs w:val="28"/>
              </w:rPr>
              <w:t>a) 临床试验报告</w:t>
            </w:r>
            <w:r>
              <w:rPr>
                <w:rFonts w:ascii="Times New Roman" w:hAnsi="Times New Roman" w:eastAsia="仿宋_GB2312" w:cs="Times New Roman"/>
                <w:color w:val="000000"/>
                <w:kern w:val="0"/>
                <w:sz w:val="28"/>
                <w:szCs w:val="28"/>
              </w:rPr>
              <w:br w:type="textWrapping"/>
            </w:r>
            <w:r>
              <w:rPr>
                <w:rFonts w:ascii="Times New Roman" w:hAnsi="Times New Roman" w:eastAsia="仿宋_GB2312" w:cs="Times New Roman"/>
                <w:color w:val="000000"/>
                <w:kern w:val="0"/>
                <w:sz w:val="28"/>
                <w:szCs w:val="28"/>
              </w:rPr>
              <w:t>b) 临床文献资料</w:t>
            </w:r>
            <w:r>
              <w:rPr>
                <w:rFonts w:ascii="Times New Roman" w:hAnsi="Times New Roman" w:eastAsia="仿宋_GB2312" w:cs="Times New Roman"/>
                <w:color w:val="000000"/>
                <w:kern w:val="0"/>
                <w:sz w:val="28"/>
                <w:szCs w:val="28"/>
              </w:rPr>
              <w:br w:type="textWrapping"/>
            </w:r>
            <w:r>
              <w:rPr>
                <w:rFonts w:ascii="Times New Roman" w:hAnsi="Times New Roman" w:eastAsia="仿宋_GB2312" w:cs="Times New Roman"/>
                <w:color w:val="000000"/>
                <w:kern w:val="0"/>
                <w:sz w:val="28"/>
                <w:szCs w:val="28"/>
              </w:rPr>
              <w:t>c) 临床经验数据</w:t>
            </w:r>
          </w:p>
        </w:tc>
        <w:tc>
          <w:tcPr>
            <w:tcW w:w="1701" w:type="dxa"/>
            <w:tcBorders>
              <w:left w:val="single" w:color="auto" w:sz="4" w:space="0"/>
            </w:tcBorders>
            <w:shd w:val="clear" w:color="auto" w:fill="auto"/>
            <w:vAlign w:val="center"/>
          </w:tcPr>
          <w:p w14:paraId="311655DE">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免于临床评价医疗器械目录范围之外的产品适用</w:t>
            </w:r>
          </w:p>
        </w:tc>
      </w:tr>
      <w:tr w14:paraId="063163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52" w:hRule="atLeast"/>
        </w:trPr>
        <w:tc>
          <w:tcPr>
            <w:tcW w:w="1377" w:type="dxa"/>
            <w:shd w:val="clear" w:color="auto" w:fill="auto"/>
            <w:vAlign w:val="center"/>
          </w:tcPr>
          <w:p w14:paraId="4661A74A">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A2.2</w:t>
            </w:r>
          </w:p>
        </w:tc>
        <w:tc>
          <w:tcPr>
            <w:tcW w:w="10266" w:type="dxa"/>
            <w:shd w:val="clear" w:color="auto" w:fill="auto"/>
            <w:vAlign w:val="center"/>
          </w:tcPr>
          <w:p w14:paraId="2B5B8F96">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临床试验的实施应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1701" w:type="dxa"/>
            <w:shd w:val="clear" w:color="auto" w:fill="auto"/>
            <w:vAlign w:val="center"/>
          </w:tcPr>
          <w:p w14:paraId="72A02ED4">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如需开展临床试验的适用</w:t>
            </w:r>
          </w:p>
        </w:tc>
      </w:tr>
      <w:tr w14:paraId="35D50E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2FD00D71">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-161925</wp:posOffset>
                      </wp:positionH>
                      <wp:positionV relativeFrom="paragraph">
                        <wp:posOffset>419100</wp:posOffset>
                      </wp:positionV>
                      <wp:extent cx="800100" cy="419100"/>
                      <wp:effectExtent l="0" t="0" r="19050" b="19050"/>
                      <wp:wrapNone/>
                      <wp:docPr id="14" name="矩形 14"/>
                      <wp:cNvGraphicFramePr/>
                      <a:graphic xmlns:a="http://schemas.openxmlformats.org/drawingml/2006/main">
                        <a:graphicData uri="http://schemas.microsoft.com/office/word/2010/wordprocessingShape">
                          <wps:wsp>
                            <wps:cNvSpPr/>
                            <wps:spPr>
                              <a:xfrm>
                                <a:off x="0" y="0"/>
                                <a:ext cx="8001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75pt;margin-top:33pt;height:33pt;width:63pt;z-index:251666432;v-text-anchor:middle;mso-width-relative:page;mso-height-relative:page;" fillcolor="#FFFFFF [3212]" filled="t" stroked="t" coordsize="21600,21600" o:gfxdata="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yS&#10;HRXZAAAACgEAAA8AAAAAAAAAAQAgAAAAIgAAAGRycy9kb3ducmV2LnhtbFBLAQIUABQAAAAIAIdO&#10;4kBSqUqyWwIAAN4EAAAOAAAAAAAAAAEAIAAAACgBAABkcnMvZTJvRG9jLnhtbFBLBQYAAAAABgAG&#10;AFkBAAD1BQAAAAA=&#10;">
                      <v:fill on="t" focussize="0,0"/>
                      <v:stroke weight="2pt" color="#FFFFFF [3212]" joinstyle="round"/>
                      <v:imagedata o:title=""/>
                      <o:lock v:ext="edit" aspectratio="f"/>
                    </v:rect>
                  </w:pict>
                </mc:Fallback>
              </mc:AlternateContent>
            </w:r>
            <w:r>
              <w:rPr>
                <w:rFonts w:ascii="Times New Roman" w:hAnsi="Times New Roman" w:eastAsia="仿宋_GB2312" w:cs="Times New Roman"/>
                <w:color w:val="000000"/>
                <w:kern w:val="0"/>
                <w:sz w:val="28"/>
                <w:szCs w:val="28"/>
              </w:rPr>
              <w:t>A3</w:t>
            </w:r>
          </w:p>
        </w:tc>
        <w:tc>
          <w:tcPr>
            <w:tcW w:w="11967" w:type="dxa"/>
            <w:gridSpan w:val="2"/>
            <w:shd w:val="clear" w:color="auto" w:fill="auto"/>
            <w:vAlign w:val="center"/>
          </w:tcPr>
          <w:p w14:paraId="5BA075D3">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化学、物理和生物学特性</w:t>
            </w:r>
          </w:p>
        </w:tc>
      </w:tr>
      <w:tr w14:paraId="34FF91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3" w:hRule="atLeast"/>
        </w:trPr>
        <w:tc>
          <w:tcPr>
            <w:tcW w:w="1377" w:type="dxa"/>
            <w:shd w:val="clear" w:color="auto" w:fill="auto"/>
            <w:vAlign w:val="center"/>
          </w:tcPr>
          <w:p w14:paraId="4993447E">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A3.1</w:t>
            </w:r>
          </w:p>
        </w:tc>
        <w:tc>
          <w:tcPr>
            <w:tcW w:w="10266" w:type="dxa"/>
            <w:shd w:val="clear" w:color="auto" w:fill="auto"/>
            <w:vAlign w:val="center"/>
          </w:tcPr>
          <w:p w14:paraId="3D23570F">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关于医疗器械的化学、物理和生物学特性，应特别注意以下几点：</w:t>
            </w:r>
          </w:p>
          <w:p w14:paraId="65BA7A8D">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br w:type="page"/>
            </w:r>
            <w:r>
              <w:rPr>
                <w:rFonts w:ascii="Times New Roman" w:hAnsi="Times New Roman" w:eastAsia="仿宋_GB2312" w:cs="Times New Roman"/>
                <w:color w:val="000000"/>
                <w:kern w:val="0"/>
                <w:sz w:val="28"/>
                <w:szCs w:val="28"/>
              </w:rPr>
              <w:t>a) 所用材料和组成成分的选择，需特别考虑：</w:t>
            </w:r>
            <w:r>
              <w:rPr>
                <w:rFonts w:ascii="Times New Roman" w:hAnsi="Times New Roman" w:eastAsia="仿宋_GB2312" w:cs="Times New Roman"/>
                <w:color w:val="000000"/>
                <w:kern w:val="0"/>
                <w:sz w:val="28"/>
                <w:szCs w:val="28"/>
              </w:rPr>
              <w:br w:type="page"/>
            </w:r>
            <w:r>
              <w:rPr>
                <w:rFonts w:ascii="Times New Roman" w:hAnsi="Times New Roman" w:eastAsia="仿宋_GB2312" w:cs="Times New Roman"/>
                <w:color w:val="000000"/>
                <w:kern w:val="0"/>
                <w:sz w:val="28"/>
                <w:szCs w:val="28"/>
              </w:rPr>
              <w:t>-毒性；</w:t>
            </w:r>
            <w:r>
              <w:rPr>
                <w:rFonts w:ascii="Times New Roman" w:hAnsi="Times New Roman" w:eastAsia="仿宋_GB2312" w:cs="Times New Roman"/>
                <w:color w:val="000000"/>
                <w:kern w:val="0"/>
                <w:sz w:val="28"/>
                <w:szCs w:val="28"/>
              </w:rPr>
              <w:br w:type="page"/>
            </w:r>
            <w:r>
              <w:rPr>
                <w:rFonts w:ascii="Times New Roman" w:hAnsi="Times New Roman" w:eastAsia="仿宋_GB2312" w:cs="Times New Roman"/>
                <w:color w:val="000000"/>
                <w:kern w:val="0"/>
                <w:sz w:val="28"/>
                <w:szCs w:val="28"/>
              </w:rPr>
              <w:t>-生物相容性；</w:t>
            </w:r>
            <w:r>
              <w:rPr>
                <w:rFonts w:ascii="Times New Roman" w:hAnsi="Times New Roman" w:eastAsia="仿宋_GB2312" w:cs="Times New Roman"/>
                <w:color w:val="000000"/>
                <w:kern w:val="0"/>
                <w:sz w:val="28"/>
                <w:szCs w:val="28"/>
              </w:rPr>
              <w:br w:type="page"/>
            </w:r>
            <w:r>
              <w:rPr>
                <w:rFonts w:ascii="Times New Roman" w:hAnsi="Times New Roman" w:eastAsia="仿宋_GB2312" w:cs="Times New Roman"/>
                <w:color w:val="000000"/>
                <w:kern w:val="0"/>
                <w:sz w:val="28"/>
                <w:szCs w:val="28"/>
              </w:rPr>
              <w:t>-易燃性；</w:t>
            </w:r>
          </w:p>
          <w:p w14:paraId="6E7D516D">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br w:type="page"/>
            </w:r>
            <w:r>
              <w:rPr>
                <w:rFonts w:ascii="Times New Roman" w:hAnsi="Times New Roman" w:eastAsia="仿宋_GB2312" w:cs="Times New Roman"/>
                <w:color w:val="000000"/>
                <w:kern w:val="0"/>
                <w:sz w:val="28"/>
                <w:szCs w:val="28"/>
              </w:rPr>
              <w:t>b) 工艺对材料性能的影响；</w:t>
            </w:r>
          </w:p>
          <w:p w14:paraId="18D5941E">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br w:type="page"/>
            </w:r>
            <w:r>
              <w:rPr>
                <w:rFonts w:ascii="Times New Roman" w:hAnsi="Times New Roman" w:eastAsia="仿宋_GB2312" w:cs="Times New Roman"/>
                <w:color w:val="000000"/>
                <w:kern w:val="0"/>
                <w:sz w:val="28"/>
                <w:szCs w:val="28"/>
              </w:rPr>
              <w:t>c) 生物物理学或者建模研究结果应事先进行验证（如适用）；</w:t>
            </w:r>
          </w:p>
          <w:p w14:paraId="032D4506">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br w:type="page"/>
            </w:r>
            <w:r>
              <w:rPr>
                <w:rFonts w:ascii="Times New Roman" w:hAnsi="Times New Roman" w:eastAsia="仿宋_GB2312" w:cs="Times New Roman"/>
                <w:color w:val="000000"/>
                <w:kern w:val="0"/>
                <w:sz w:val="28"/>
                <w:szCs w:val="28"/>
              </w:rPr>
              <w:t>d) 所用材料的机械性能，如适用，应考虑强度、延展性、断裂强度、耐磨性和抗疲劳性等属性；</w:t>
            </w:r>
          </w:p>
          <w:p w14:paraId="34BE9663">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br w:type="page"/>
            </w:r>
            <w:r>
              <w:rPr>
                <w:rFonts w:ascii="Times New Roman" w:hAnsi="Times New Roman" w:eastAsia="仿宋_GB2312" w:cs="Times New Roman"/>
                <w:color w:val="000000"/>
                <w:kern w:val="0"/>
                <w:sz w:val="28"/>
                <w:szCs w:val="28"/>
              </w:rPr>
              <w:t>e) 表面特性；</w:t>
            </w:r>
          </w:p>
          <w:p w14:paraId="31B77469">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br w:type="page"/>
            </w:r>
            <w:r>
              <w:rPr>
                <w:rFonts w:ascii="Times New Roman" w:hAnsi="Times New Roman" w:eastAsia="仿宋_GB2312" w:cs="Times New Roman"/>
                <w:color w:val="000000"/>
                <w:kern w:val="0"/>
                <w:sz w:val="28"/>
                <w:szCs w:val="28"/>
              </w:rPr>
              <w:t>f) 器械与已规定化学和/或物理性能的符合性。</w:t>
            </w:r>
          </w:p>
        </w:tc>
        <w:tc>
          <w:tcPr>
            <w:tcW w:w="1701" w:type="dxa"/>
            <w:shd w:val="clear" w:color="auto" w:fill="auto"/>
            <w:vAlign w:val="center"/>
          </w:tcPr>
          <w:p w14:paraId="65F9A36E">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6F2D88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3" w:hRule="atLeast"/>
        </w:trPr>
        <w:tc>
          <w:tcPr>
            <w:tcW w:w="1377" w:type="dxa"/>
            <w:shd w:val="clear" w:color="auto" w:fill="auto"/>
            <w:vAlign w:val="center"/>
          </w:tcPr>
          <w:p w14:paraId="4B701EA5">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A3.2</w:t>
            </w:r>
          </w:p>
        </w:tc>
        <w:tc>
          <w:tcPr>
            <w:tcW w:w="10266" w:type="dxa"/>
            <w:shd w:val="clear" w:color="auto" w:fill="auto"/>
            <w:vAlign w:val="center"/>
          </w:tcPr>
          <w:p w14:paraId="2754707E">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基于医疗器械的预期用途，医疗器械的设计、生产和包装，应尽可能减少污染物和残留物对使用者和患者，以及对从事医疗器械运输、贮存及其他相关人员造成的风险。特别要注意与使用者和患者暴露组织接触的时间和频次。</w:t>
            </w:r>
          </w:p>
        </w:tc>
        <w:tc>
          <w:tcPr>
            <w:tcW w:w="1701" w:type="dxa"/>
            <w:shd w:val="clear" w:color="auto" w:fill="auto"/>
            <w:vAlign w:val="center"/>
          </w:tcPr>
          <w:p w14:paraId="6D6C4F5D">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1E7313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9" w:hRule="atLeast"/>
        </w:trPr>
        <w:tc>
          <w:tcPr>
            <w:tcW w:w="1377" w:type="dxa"/>
            <w:shd w:val="clear" w:color="auto" w:fill="auto"/>
            <w:vAlign w:val="center"/>
          </w:tcPr>
          <w:p w14:paraId="40D90370">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A3.3</w:t>
            </w:r>
          </w:p>
        </w:tc>
        <w:tc>
          <w:tcPr>
            <w:tcW w:w="10266" w:type="dxa"/>
            <w:shd w:val="clear" w:color="auto" w:fill="auto"/>
            <w:vAlign w:val="center"/>
          </w:tcPr>
          <w:p w14:paraId="6065C12B">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医疗器械的设计和生产应适当降低析出物（包括滤沥物和/或蒸发物）、降解产物、加工残留物等造成的风险。应特别注意致癌、致突变或有生殖毒性的泄漏物或滤沥物。</w:t>
            </w:r>
          </w:p>
        </w:tc>
        <w:tc>
          <w:tcPr>
            <w:tcW w:w="1701" w:type="dxa"/>
            <w:shd w:val="clear" w:color="auto" w:fill="auto"/>
            <w:vAlign w:val="center"/>
          </w:tcPr>
          <w:p w14:paraId="3AB07486">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3DE76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00" w:hRule="atLeast"/>
        </w:trPr>
        <w:tc>
          <w:tcPr>
            <w:tcW w:w="1377" w:type="dxa"/>
            <w:shd w:val="clear" w:color="auto" w:fill="auto"/>
            <w:vAlign w:val="center"/>
          </w:tcPr>
          <w:p w14:paraId="3FC847EB">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A3.4</w:t>
            </w:r>
          </w:p>
        </w:tc>
        <w:tc>
          <w:tcPr>
            <w:tcW w:w="10266" w:type="dxa"/>
            <w:shd w:val="clear" w:color="auto" w:fill="auto"/>
            <w:vAlign w:val="center"/>
          </w:tcPr>
          <w:p w14:paraId="017BE68E">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mc:AlternateContent>
                <mc:Choice Requires="wps">
                  <w:drawing>
                    <wp:anchor distT="0" distB="0" distL="114300" distR="114300" simplePos="0" relativeHeight="251667456" behindDoc="0" locked="0" layoutInCell="1" allowOverlap="1">
                      <wp:simplePos x="0" y="0"/>
                      <wp:positionH relativeFrom="column">
                        <wp:posOffset>6606540</wp:posOffset>
                      </wp:positionH>
                      <wp:positionV relativeFrom="paragraph">
                        <wp:posOffset>861695</wp:posOffset>
                      </wp:positionV>
                      <wp:extent cx="1162050" cy="219075"/>
                      <wp:effectExtent l="0" t="0" r="19050" b="28575"/>
                      <wp:wrapNone/>
                      <wp:docPr id="17" name="矩形 17"/>
                      <wp:cNvGraphicFramePr/>
                      <a:graphic xmlns:a="http://schemas.openxmlformats.org/drawingml/2006/main">
                        <a:graphicData uri="http://schemas.microsoft.com/office/word/2010/wordprocessingShape">
                          <wps:wsp>
                            <wps:cNvSpPr/>
                            <wps:spPr>
                              <a:xfrm>
                                <a:off x="0" y="0"/>
                                <a:ext cx="1162050" cy="219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20.2pt;margin-top:67.85pt;height:17.25pt;width:91.5pt;z-index:251667456;v-text-anchor:middle;mso-width-relative:page;mso-height-relative:page;" fillcolor="#FFFFFF [3212]" filled="t" stroked="t" coordsize="21600,21600" o:gfxdata="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WMv8baAAAADQEAAA8AAAAAAAAAAQAgAAAAIgAAAGRycy9kb3ducmV2LnhtbFBLAQIUABQAAAAI&#10;AIdO4kAV2Gx+XQIAAN8EAAAOAAAAAAAAAAEAIAAAACkBAABkcnMvZTJvRG9jLnhtbFBLBQYAAAAA&#10;BgAGAFkBAAD4BQAAAAA=&#10;">
                      <v:fill on="t" focussize="0,0"/>
                      <v:stroke weight="2pt" color="#FFFFFF [3212]" joinstyle="round"/>
                      <v:imagedata o:title=""/>
                      <o:lock v:ext="edit" aspectratio="f"/>
                    </v:rect>
                  </w:pict>
                </mc:Fallback>
              </mc:AlternateContent>
            </w:r>
            <w:r>
              <w:rPr>
                <w:rFonts w:ascii="Times New Roman" w:hAnsi="Times New Roman" w:eastAsia="仿宋_GB2312" w:cs="Times New Roman"/>
                <w:color w:val="000000"/>
                <w:kern w:val="0"/>
                <w:sz w:val="28"/>
                <w:szCs w:val="28"/>
              </w:rPr>
              <w:t>医疗器械的设计和生产应考虑到医疗器械及其预期使用环境的性质，适当降低物质意外进入器械所带来的风险。</w:t>
            </w:r>
          </w:p>
        </w:tc>
        <w:tc>
          <w:tcPr>
            <w:tcW w:w="1701" w:type="dxa"/>
            <w:shd w:val="clear" w:color="auto" w:fill="auto"/>
            <w:vAlign w:val="center"/>
          </w:tcPr>
          <w:p w14:paraId="09488372">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4033E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73" w:hRule="atLeast"/>
        </w:trPr>
        <w:tc>
          <w:tcPr>
            <w:tcW w:w="1377" w:type="dxa"/>
            <w:shd w:val="clear" w:color="auto" w:fill="auto"/>
            <w:vAlign w:val="center"/>
          </w:tcPr>
          <w:p w14:paraId="71480023">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A3.5</w:t>
            </w:r>
          </w:p>
        </w:tc>
        <w:tc>
          <w:tcPr>
            <w:tcW w:w="10266" w:type="dxa"/>
            <w:shd w:val="clear" w:color="auto" w:fill="auto"/>
            <w:vAlign w:val="center"/>
          </w:tcPr>
          <w:p w14:paraId="354CCEC0">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医疗器械及其生产工艺的设计应能消除或适当降低对使用者和其他可能接触者的感染风险。设计应：</w:t>
            </w:r>
          </w:p>
          <w:p w14:paraId="0F4E8EA7">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br w:type="page"/>
            </w:r>
            <w:r>
              <w:rPr>
                <w:rFonts w:ascii="Times New Roman" w:hAnsi="Times New Roman" w:eastAsia="仿宋_GB2312" w:cs="Times New Roman"/>
                <w:color w:val="000000"/>
                <w:kern w:val="0"/>
                <w:sz w:val="28"/>
                <w:szCs w:val="28"/>
              </w:rPr>
              <w:t>a) 操作安全，易于处理；</w:t>
            </w:r>
          </w:p>
          <w:p w14:paraId="52A74F65">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br w:type="page"/>
            </w:r>
            <w:r>
              <w:rPr>
                <w:rFonts w:ascii="Times New Roman" w:hAnsi="Times New Roman" w:eastAsia="仿宋_GB2312" w:cs="Times New Roman"/>
                <w:color w:val="000000"/>
                <w:kern w:val="0"/>
                <w:sz w:val="28"/>
                <w:szCs w:val="28"/>
              </w:rPr>
              <w:t>b) 尽量减少医疗器械的微生物泄漏和/或使用过程中的感染风险；</w:t>
            </w:r>
          </w:p>
          <w:p w14:paraId="33B6BCE5">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br w:type="page"/>
            </w:r>
            <w:r>
              <w:rPr>
                <w:rFonts w:ascii="Times New Roman" w:hAnsi="Times New Roman" w:eastAsia="仿宋_GB2312" w:cs="Times New Roman"/>
                <w:color w:val="000000"/>
                <w:kern w:val="0"/>
                <w:sz w:val="28"/>
                <w:szCs w:val="28"/>
              </w:rPr>
              <w:t>c) 防止医疗器械或其内容物（例如：标本）的微生物污染；</w:t>
            </w:r>
          </w:p>
          <w:p w14:paraId="723A25D0">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br w:type="page"/>
            </w:r>
            <w:r>
              <w:rPr>
                <w:rFonts w:ascii="Times New Roman" w:hAnsi="Times New Roman" w:eastAsia="仿宋_GB2312" w:cs="Times New Roman"/>
                <w:color w:val="000000"/>
                <w:kern w:val="0"/>
                <w:sz w:val="28"/>
                <w:szCs w:val="28"/>
              </w:rPr>
              <w:t>d) 尽量减少意外风险（例如：割伤和刺伤（如针刺伤）、意外物质溅入眼睛等）。</w:t>
            </w:r>
          </w:p>
        </w:tc>
        <w:tc>
          <w:tcPr>
            <w:tcW w:w="1701" w:type="dxa"/>
            <w:shd w:val="clear" w:color="auto" w:fill="auto"/>
            <w:vAlign w:val="center"/>
          </w:tcPr>
          <w:p w14:paraId="3BC99A5E">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17B18B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0" w:hRule="atLeast"/>
        </w:trPr>
        <w:tc>
          <w:tcPr>
            <w:tcW w:w="1377" w:type="dxa"/>
            <w:shd w:val="clear" w:color="auto" w:fill="auto"/>
            <w:vAlign w:val="center"/>
          </w:tcPr>
          <w:p w14:paraId="214EFA23">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A4</w:t>
            </w:r>
          </w:p>
        </w:tc>
        <w:tc>
          <w:tcPr>
            <w:tcW w:w="11967" w:type="dxa"/>
            <w:gridSpan w:val="2"/>
            <w:shd w:val="clear" w:color="auto" w:fill="auto"/>
            <w:vAlign w:val="center"/>
          </w:tcPr>
          <w:p w14:paraId="6DDECED4">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灭菌和微生物污染</w:t>
            </w:r>
          </w:p>
        </w:tc>
      </w:tr>
      <w:tr w14:paraId="1FB2AF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0" w:hRule="atLeast"/>
        </w:trPr>
        <w:tc>
          <w:tcPr>
            <w:tcW w:w="1377" w:type="dxa"/>
            <w:shd w:val="clear" w:color="auto" w:fill="auto"/>
            <w:vAlign w:val="center"/>
          </w:tcPr>
          <w:p w14:paraId="113280D3">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A4.1</w:t>
            </w:r>
          </w:p>
        </w:tc>
        <w:tc>
          <w:tcPr>
            <w:tcW w:w="10266" w:type="dxa"/>
            <w:shd w:val="clear" w:color="auto" w:fill="auto"/>
            <w:vAlign w:val="center"/>
          </w:tcPr>
          <w:p w14:paraId="5984D559">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医疗器械其设计应方便使用者对其进行安全清洁、消毒、灭菌和/或重复灭菌（必要时）。</w:t>
            </w:r>
          </w:p>
        </w:tc>
        <w:tc>
          <w:tcPr>
            <w:tcW w:w="1701" w:type="dxa"/>
            <w:shd w:val="clear" w:color="auto" w:fill="auto"/>
            <w:vAlign w:val="center"/>
          </w:tcPr>
          <w:p w14:paraId="57F9A819">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7827A4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0" w:hRule="atLeast"/>
        </w:trPr>
        <w:tc>
          <w:tcPr>
            <w:tcW w:w="1377" w:type="dxa"/>
            <w:shd w:val="clear" w:color="auto" w:fill="auto"/>
            <w:vAlign w:val="center"/>
          </w:tcPr>
          <w:p w14:paraId="24F396F7">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-146685</wp:posOffset>
                      </wp:positionH>
                      <wp:positionV relativeFrom="paragraph">
                        <wp:posOffset>1068070</wp:posOffset>
                      </wp:positionV>
                      <wp:extent cx="819150" cy="638175"/>
                      <wp:effectExtent l="0" t="0" r="19050" b="28575"/>
                      <wp:wrapNone/>
                      <wp:docPr id="25" name="矩形 25"/>
                      <wp:cNvGraphicFramePr/>
                      <a:graphic xmlns:a="http://schemas.openxmlformats.org/drawingml/2006/main">
                        <a:graphicData uri="http://schemas.microsoft.com/office/word/2010/wordprocessingShape">
                          <wps:wsp>
                            <wps:cNvSpPr/>
                            <wps:spPr>
                              <a:xfrm>
                                <a:off x="0" y="0"/>
                                <a:ext cx="819150" cy="638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55pt;margin-top:84.1pt;height:50.25pt;width:64.5pt;z-index:251668480;v-text-anchor:middle;mso-width-relative:page;mso-height-relative:page;" fillcolor="#FFFFFF [3212]" filled="t" stroked="t" coordsize="21600,21600" o:gfxdata="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x57bX2gAAAAsBAAAPAAAAAAAAAAEAIAAAACIAAABkcnMvZG93bnJldi54bWxQSwECFAAUAAAA&#10;CACHTuJA9/hYwV4CAADeBAAADgAAAAAAAAABACAAAAApAQAAZHJzL2Uyb0RvYy54bWxQSwUGAAAA&#10;AAYABgBZAQAA+QUAAAAA&#10;">
                      <v:fill on="t" focussize="0,0"/>
                      <v:stroke weight="2pt" color="#FFFFFF [3212]" joinstyle="round"/>
                      <v:imagedata o:title=""/>
                      <o:lock v:ext="edit" aspectratio="f"/>
                    </v:rect>
                  </w:pict>
                </mc:Fallback>
              </mc:AlternateContent>
            </w:r>
            <w:r>
              <w:rPr>
                <w:rFonts w:ascii="Times New Roman" w:hAnsi="Times New Roman" w:eastAsia="仿宋_GB2312" w:cs="Times New Roman"/>
                <w:color w:val="000000"/>
                <w:kern w:val="0"/>
                <w:sz w:val="28"/>
                <w:szCs w:val="28"/>
              </w:rPr>
              <w:t>A4.2</w:t>
            </w:r>
          </w:p>
        </w:tc>
        <w:tc>
          <w:tcPr>
            <w:tcW w:w="10266" w:type="dxa"/>
            <w:shd w:val="clear" w:color="auto" w:fill="auto"/>
            <w:vAlign w:val="center"/>
          </w:tcPr>
          <w:p w14:paraId="2FF34F82">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具有微生物限度要求的医疗器械，其设计、生产和包装应确保在出厂后，按照申请人规定的条件运输和贮存，符合微生物限度要求。</w:t>
            </w:r>
          </w:p>
        </w:tc>
        <w:tc>
          <w:tcPr>
            <w:tcW w:w="1701" w:type="dxa"/>
            <w:shd w:val="clear" w:color="auto" w:fill="auto"/>
            <w:vAlign w:val="center"/>
          </w:tcPr>
          <w:p w14:paraId="243DF689">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06112A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0" w:hRule="atLeast"/>
        </w:trPr>
        <w:tc>
          <w:tcPr>
            <w:tcW w:w="1377" w:type="dxa"/>
            <w:shd w:val="clear" w:color="auto" w:fill="auto"/>
            <w:vAlign w:val="center"/>
          </w:tcPr>
          <w:p w14:paraId="23CFA4CF">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A4.3</w:t>
            </w:r>
          </w:p>
        </w:tc>
        <w:tc>
          <w:tcPr>
            <w:tcW w:w="10266" w:type="dxa"/>
            <w:shd w:val="clear" w:color="auto" w:fill="auto"/>
            <w:vAlign w:val="center"/>
          </w:tcPr>
          <w:p w14:paraId="6FF25C8F">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以无菌状态交付的医疗器械，其设计、生产和包装应按照适当的程序进行，以确保在出厂时无菌。在申请人规定的条件下运输和贮存的未破损无菌包装，打开前都应保持无菌状态。应确保最终使用者可清晰地辨识包装的完整性（例如：防篡改包装）。</w:t>
            </w:r>
          </w:p>
        </w:tc>
        <w:tc>
          <w:tcPr>
            <w:tcW w:w="1701" w:type="dxa"/>
            <w:shd w:val="clear" w:color="auto" w:fill="auto"/>
            <w:vAlign w:val="center"/>
          </w:tcPr>
          <w:p w14:paraId="3FD5BF1A">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以无菌状态交付的医疗器械适用</w:t>
            </w:r>
          </w:p>
        </w:tc>
      </w:tr>
      <w:tr w14:paraId="251AE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0" w:hRule="atLeast"/>
        </w:trPr>
        <w:tc>
          <w:tcPr>
            <w:tcW w:w="1377" w:type="dxa"/>
            <w:shd w:val="clear" w:color="auto" w:fill="auto"/>
            <w:vAlign w:val="center"/>
          </w:tcPr>
          <w:p w14:paraId="5B9F0DB5">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A4.4</w:t>
            </w:r>
          </w:p>
        </w:tc>
        <w:tc>
          <w:tcPr>
            <w:tcW w:w="10266" w:type="dxa"/>
            <w:shd w:val="clear" w:color="auto" w:fill="auto"/>
            <w:vAlign w:val="center"/>
          </w:tcPr>
          <w:p w14:paraId="7FDDB0F1">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无菌医疗器械应按照经验证的方法进行加工、生产、包装和灭菌，其货架有效期应按照经验证的方法确定。</w:t>
            </w:r>
          </w:p>
        </w:tc>
        <w:tc>
          <w:tcPr>
            <w:tcW w:w="1701" w:type="dxa"/>
            <w:shd w:val="clear" w:color="auto" w:fill="auto"/>
            <w:vAlign w:val="center"/>
          </w:tcPr>
          <w:p w14:paraId="76DA05BC">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2210C5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27" w:hRule="atLeast"/>
        </w:trPr>
        <w:tc>
          <w:tcPr>
            <w:tcW w:w="1377" w:type="dxa"/>
            <w:shd w:val="clear" w:color="auto" w:fill="auto"/>
            <w:vAlign w:val="center"/>
          </w:tcPr>
          <w:p w14:paraId="13C19430">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A4.5</w:t>
            </w:r>
          </w:p>
        </w:tc>
        <w:tc>
          <w:tcPr>
            <w:tcW w:w="10266" w:type="dxa"/>
            <w:shd w:val="clear" w:color="auto" w:fill="auto"/>
            <w:vAlign w:val="center"/>
          </w:tcPr>
          <w:p w14:paraId="045EA28C">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预期无菌使用的医疗器械（申请人灭菌或使用者灭菌），均应在适当且受控的条件和设施下生产和包装。</w:t>
            </w:r>
          </w:p>
        </w:tc>
        <w:tc>
          <w:tcPr>
            <w:tcW w:w="1701" w:type="dxa"/>
            <w:shd w:val="clear" w:color="auto" w:fill="auto"/>
            <w:vAlign w:val="center"/>
          </w:tcPr>
          <w:p w14:paraId="3D8E95AC">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预期需灭菌的探头、穿刺架等附件适用</w:t>
            </w:r>
          </w:p>
        </w:tc>
      </w:tr>
      <w:tr w14:paraId="5E0399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27" w:hRule="atLeast"/>
        </w:trPr>
        <w:tc>
          <w:tcPr>
            <w:tcW w:w="1377" w:type="dxa"/>
            <w:shd w:val="clear" w:color="auto" w:fill="auto"/>
            <w:vAlign w:val="center"/>
          </w:tcPr>
          <w:p w14:paraId="7884B6EF">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A4.6</w:t>
            </w:r>
          </w:p>
        </w:tc>
        <w:tc>
          <w:tcPr>
            <w:tcW w:w="10266" w:type="dxa"/>
            <w:shd w:val="clear" w:color="auto" w:fill="auto"/>
            <w:vAlign w:val="center"/>
          </w:tcPr>
          <w:p w14:paraId="166AD960">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以非无菌状态交付，且使用前灭菌的医疗器械：a)包装应当尽量减少产品受到微生物污染的风险，且应适用于申请人规定的灭菌方法。</w:t>
            </w:r>
          </w:p>
        </w:tc>
        <w:tc>
          <w:tcPr>
            <w:tcW w:w="1701" w:type="dxa"/>
            <w:shd w:val="clear" w:color="auto" w:fill="auto"/>
            <w:vAlign w:val="center"/>
          </w:tcPr>
          <w:p w14:paraId="1C21F6BE">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kern w:val="0"/>
                <w:sz w:val="28"/>
                <w:szCs w:val="28"/>
              </w:rPr>
              <w:t>非无菌交付的适用</w:t>
            </w:r>
          </w:p>
        </w:tc>
      </w:tr>
      <w:tr w14:paraId="1F7CA9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27" w:hRule="atLeast"/>
        </w:trPr>
        <w:tc>
          <w:tcPr>
            <w:tcW w:w="1377" w:type="dxa"/>
            <w:shd w:val="clear" w:color="auto" w:fill="auto"/>
            <w:vAlign w:val="center"/>
          </w:tcPr>
          <w:p w14:paraId="4B2CA7EB">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A4.7</w:t>
            </w:r>
          </w:p>
        </w:tc>
        <w:tc>
          <w:tcPr>
            <w:tcW w:w="10266" w:type="dxa"/>
            <w:shd w:val="clear" w:color="auto" w:fill="auto"/>
            <w:vAlign w:val="center"/>
          </w:tcPr>
          <w:p w14:paraId="0B32C32F">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mc:AlternateContent>
                <mc:Choice Requires="wps">
                  <w:drawing>
                    <wp:anchor distT="0" distB="0" distL="114300" distR="114300" simplePos="0" relativeHeight="251669504" behindDoc="0" locked="0" layoutInCell="1" allowOverlap="1">
                      <wp:simplePos x="0" y="0"/>
                      <wp:positionH relativeFrom="column">
                        <wp:posOffset>6848475</wp:posOffset>
                      </wp:positionH>
                      <wp:positionV relativeFrom="paragraph">
                        <wp:posOffset>1024255</wp:posOffset>
                      </wp:positionV>
                      <wp:extent cx="800100" cy="419100"/>
                      <wp:effectExtent l="0" t="0" r="19050" b="19050"/>
                      <wp:wrapNone/>
                      <wp:docPr id="28" name="矩形 28"/>
                      <wp:cNvGraphicFramePr/>
                      <a:graphic xmlns:a="http://schemas.openxmlformats.org/drawingml/2006/main">
                        <a:graphicData uri="http://schemas.microsoft.com/office/word/2010/wordprocessingShape">
                          <wps:wsp>
                            <wps:cNvSpPr/>
                            <wps:spPr>
                              <a:xfrm>
                                <a:off x="0" y="0"/>
                                <a:ext cx="8001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39.25pt;margin-top:80.65pt;height:33pt;width:63pt;z-index:251669504;v-text-anchor:middle;mso-width-relative:page;mso-height-relative:page;" fillcolor="#FFFFFF [3212]" filled="t" stroked="t" coordsize="21600,21600" o:gfxdata="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apuH9wAAAANAQAADwAAAAAAAAABACAAAAAiAAAAZHJzL2Rvd25yZXYueG1sUEsBAhQAFAAAAAgA&#10;h07iQOPzNi5aAgAA3gQAAA4AAAAAAAAAAQAgAAAAKwEAAGRycy9lMm9Eb2MueG1sUEsFBgAAAAAG&#10;AAYAWQEAAPcFAAAAAA==&#10;">
                      <v:fill on="t" focussize="0,0"/>
                      <v:stroke weight="2pt" color="#FFFFFF [3212]" joinstyle="round"/>
                      <v:imagedata o:title=""/>
                      <o:lock v:ext="edit" aspectratio="f"/>
                    </v:rect>
                  </w:pict>
                </mc:Fallback>
              </mc:AlternateContent>
            </w:r>
            <w:r>
              <w:rPr>
                <w:rFonts w:ascii="Times New Roman" w:hAnsi="Times New Roman" w:eastAsia="仿宋_GB2312" w:cs="Times New Roman"/>
                <w:color w:val="000000"/>
                <w:kern w:val="0"/>
                <w:sz w:val="28"/>
                <w:szCs w:val="28"/>
              </w:rPr>
              <w:t>若医疗器械可以无菌和非无菌状态交付使用，应明确标识其交付状态。</w:t>
            </w:r>
          </w:p>
        </w:tc>
        <w:tc>
          <w:tcPr>
            <w:tcW w:w="1701" w:type="dxa"/>
            <w:shd w:val="clear" w:color="auto" w:fill="auto"/>
            <w:vAlign w:val="center"/>
          </w:tcPr>
          <w:p w14:paraId="35768943">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6D6629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56" w:hRule="atLeast"/>
        </w:trPr>
        <w:tc>
          <w:tcPr>
            <w:tcW w:w="1377" w:type="dxa"/>
            <w:shd w:val="clear" w:color="auto" w:fill="auto"/>
            <w:vAlign w:val="center"/>
          </w:tcPr>
          <w:p w14:paraId="0C703B84">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A5</w:t>
            </w:r>
          </w:p>
        </w:tc>
        <w:tc>
          <w:tcPr>
            <w:tcW w:w="11967" w:type="dxa"/>
            <w:gridSpan w:val="2"/>
            <w:shd w:val="clear" w:color="auto" w:fill="auto"/>
            <w:vAlign w:val="center"/>
          </w:tcPr>
          <w:p w14:paraId="48A7EE1A">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环境和使用条件</w:t>
            </w:r>
          </w:p>
        </w:tc>
      </w:tr>
      <w:tr w14:paraId="6DDC7E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62" w:hRule="atLeast"/>
        </w:trPr>
        <w:tc>
          <w:tcPr>
            <w:tcW w:w="1377" w:type="dxa"/>
            <w:shd w:val="clear" w:color="auto" w:fill="auto"/>
            <w:vAlign w:val="center"/>
          </w:tcPr>
          <w:p w14:paraId="034B17E3">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A5.1</w:t>
            </w:r>
          </w:p>
        </w:tc>
        <w:tc>
          <w:tcPr>
            <w:tcW w:w="10266" w:type="dxa"/>
            <w:shd w:val="clear" w:color="auto" w:fill="auto"/>
            <w:vAlign w:val="center"/>
          </w:tcPr>
          <w:p w14:paraId="72E019D5">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1701" w:type="dxa"/>
            <w:shd w:val="clear" w:color="auto" w:fill="auto"/>
            <w:vAlign w:val="center"/>
          </w:tcPr>
          <w:p w14:paraId="1A4BED54">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0B45DD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vMerge w:val="restart"/>
            <w:shd w:val="clear" w:color="auto" w:fill="auto"/>
            <w:vAlign w:val="center"/>
          </w:tcPr>
          <w:p w14:paraId="3EDF0D21">
            <w:pPr>
              <w:widowControl/>
              <w:spacing w:line="3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A5.2</w:t>
            </w:r>
          </w:p>
        </w:tc>
        <w:tc>
          <w:tcPr>
            <w:tcW w:w="10266" w:type="dxa"/>
            <w:shd w:val="clear" w:color="auto" w:fill="auto"/>
            <w:vAlign w:val="center"/>
          </w:tcPr>
          <w:p w14:paraId="0E0788BA">
            <w:pPr>
              <w:widowControl/>
              <w:spacing w:line="34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医疗器械的设计和生产应当考虑预期的使用环境和使用条件，以消除或降低下列风险：</w:t>
            </w:r>
          </w:p>
        </w:tc>
        <w:tc>
          <w:tcPr>
            <w:tcW w:w="1701" w:type="dxa"/>
            <w:shd w:val="clear" w:color="auto" w:fill="auto"/>
            <w:vAlign w:val="center"/>
          </w:tcPr>
          <w:p w14:paraId="521503F6">
            <w:pPr>
              <w:widowControl/>
              <w:spacing w:line="340" w:lineRule="exact"/>
              <w:jc w:val="center"/>
              <w:rPr>
                <w:rFonts w:ascii="Times New Roman" w:hAnsi="Times New Roman" w:eastAsia="仿宋_GB2312" w:cs="Times New Roman"/>
                <w:color w:val="000000"/>
                <w:kern w:val="0"/>
                <w:sz w:val="28"/>
                <w:szCs w:val="28"/>
              </w:rPr>
            </w:pPr>
          </w:p>
        </w:tc>
      </w:tr>
      <w:tr w14:paraId="18D648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vMerge w:val="continue"/>
            <w:vAlign w:val="center"/>
          </w:tcPr>
          <w:p w14:paraId="1254BE4A">
            <w:pPr>
              <w:widowControl/>
              <w:spacing w:line="34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5814CAF6">
            <w:pPr>
              <w:widowControl/>
              <w:spacing w:line="34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 与物理和人体工程学/可用性的特性有关，对使用者或他人造成损伤的风险；</w:t>
            </w:r>
          </w:p>
        </w:tc>
        <w:tc>
          <w:tcPr>
            <w:tcW w:w="1701" w:type="dxa"/>
            <w:shd w:val="clear" w:color="auto" w:fill="auto"/>
            <w:vAlign w:val="center"/>
          </w:tcPr>
          <w:p w14:paraId="30BB3468">
            <w:pPr>
              <w:widowControl/>
              <w:spacing w:line="3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211EF5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0" w:hRule="atLeast"/>
        </w:trPr>
        <w:tc>
          <w:tcPr>
            <w:tcW w:w="1377" w:type="dxa"/>
            <w:vMerge w:val="continue"/>
            <w:vAlign w:val="center"/>
          </w:tcPr>
          <w:p w14:paraId="6FBA9ECC">
            <w:pPr>
              <w:widowControl/>
              <w:spacing w:line="34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656ADB3D">
            <w:pPr>
              <w:widowControl/>
              <w:spacing w:line="34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 由于用户界面设计、人体工程学/可用性的特性以及预期使用环境导致的错误操作的风险；</w:t>
            </w:r>
          </w:p>
        </w:tc>
        <w:tc>
          <w:tcPr>
            <w:tcW w:w="1701" w:type="dxa"/>
            <w:shd w:val="clear" w:color="auto" w:fill="auto"/>
            <w:vAlign w:val="center"/>
          </w:tcPr>
          <w:p w14:paraId="4F6998FD">
            <w:pPr>
              <w:widowControl/>
              <w:spacing w:line="3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7B894F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vMerge w:val="continue"/>
            <w:vAlign w:val="center"/>
          </w:tcPr>
          <w:p w14:paraId="3BCF7061">
            <w:pPr>
              <w:widowControl/>
              <w:spacing w:line="34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20171D0C">
            <w:pPr>
              <w:widowControl/>
              <w:spacing w:line="34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c) 与合理可预期的外部因素或环境条件有关的风险，如磁场、外部电磁效应、静电释放、诊断和治疗带来的辐射、压力、湿度、温度和/或压力和加速度的变化；</w:t>
            </w:r>
          </w:p>
        </w:tc>
        <w:tc>
          <w:tcPr>
            <w:tcW w:w="1701" w:type="dxa"/>
            <w:shd w:val="clear" w:color="auto" w:fill="auto"/>
            <w:vAlign w:val="center"/>
          </w:tcPr>
          <w:p w14:paraId="31C206BD">
            <w:pPr>
              <w:widowControl/>
              <w:spacing w:line="3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47066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377" w:type="dxa"/>
            <w:vMerge w:val="continue"/>
            <w:vAlign w:val="center"/>
          </w:tcPr>
          <w:p w14:paraId="5DA9E5F5">
            <w:pPr>
              <w:widowControl/>
              <w:spacing w:line="34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59E7D22D">
            <w:pPr>
              <w:widowControl/>
              <w:spacing w:line="34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d) 正常使用条件下与固体材料、液体和其他物质，包括气体，接触而产生的风险；</w:t>
            </w:r>
          </w:p>
        </w:tc>
        <w:tc>
          <w:tcPr>
            <w:tcW w:w="1701" w:type="dxa"/>
            <w:shd w:val="clear" w:color="auto" w:fill="auto"/>
            <w:vAlign w:val="center"/>
          </w:tcPr>
          <w:p w14:paraId="2D76F0F3">
            <w:pPr>
              <w:widowControl/>
              <w:spacing w:line="3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65D818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 w:hRule="atLeast"/>
        </w:trPr>
        <w:tc>
          <w:tcPr>
            <w:tcW w:w="1377" w:type="dxa"/>
            <w:vMerge w:val="continue"/>
            <w:vAlign w:val="center"/>
          </w:tcPr>
          <w:p w14:paraId="5B291105">
            <w:pPr>
              <w:widowControl/>
              <w:spacing w:line="34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517EDE7B">
            <w:pPr>
              <w:widowControl/>
              <w:spacing w:line="34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e) 软件与信息技术（IT）运行环境的兼容性造成的风险；</w:t>
            </w:r>
          </w:p>
        </w:tc>
        <w:tc>
          <w:tcPr>
            <w:tcW w:w="1701" w:type="dxa"/>
            <w:shd w:val="clear" w:color="auto" w:fill="auto"/>
            <w:vAlign w:val="center"/>
          </w:tcPr>
          <w:p w14:paraId="0B2A0395">
            <w:pPr>
              <w:widowControl/>
              <w:spacing w:line="3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1BAB9F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1" w:hRule="atLeast"/>
        </w:trPr>
        <w:tc>
          <w:tcPr>
            <w:tcW w:w="1377" w:type="dxa"/>
            <w:vMerge w:val="continue"/>
            <w:vAlign w:val="center"/>
          </w:tcPr>
          <w:p w14:paraId="2E1DFD5D">
            <w:pPr>
              <w:widowControl/>
              <w:spacing w:line="34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4F8D9D32">
            <w:pPr>
              <w:widowControl/>
              <w:spacing w:line="34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f) 正常使用过程中，医疗器械非预期析出物导致的环境风险；</w:t>
            </w:r>
          </w:p>
        </w:tc>
        <w:tc>
          <w:tcPr>
            <w:tcW w:w="1701" w:type="dxa"/>
            <w:shd w:val="clear" w:color="auto" w:fill="auto"/>
            <w:vAlign w:val="center"/>
          </w:tcPr>
          <w:p w14:paraId="06D45ACA">
            <w:pPr>
              <w:widowControl/>
              <w:spacing w:line="34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腔内探头、术中探头、进入患者体内的穿刺架适用。需配用无菌护套的探头可不考虑。</w:t>
            </w:r>
          </w:p>
        </w:tc>
      </w:tr>
      <w:tr w14:paraId="5DBCCD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 w:hRule="atLeast"/>
        </w:trPr>
        <w:tc>
          <w:tcPr>
            <w:tcW w:w="1377" w:type="dxa"/>
            <w:vMerge w:val="continue"/>
            <w:vAlign w:val="center"/>
          </w:tcPr>
          <w:p w14:paraId="221D1EBC">
            <w:pPr>
              <w:widowControl/>
              <w:spacing w:line="34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5230E7CA">
            <w:pPr>
              <w:widowControl/>
              <w:spacing w:line="340" w:lineRule="exact"/>
              <w:jc w:val="left"/>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g) 样本/样品/数据不正确识别和错误结果导致的风险，比如用于分析、测试或检测的样本容器、可拆卸部件和/或附件，其颜色和/或数字编码混淆；</w:t>
            </w:r>
          </w:p>
        </w:tc>
        <w:tc>
          <w:tcPr>
            <w:tcW w:w="1701" w:type="dxa"/>
            <w:shd w:val="clear" w:color="auto" w:fill="auto"/>
            <w:vAlign w:val="center"/>
          </w:tcPr>
          <w:p w14:paraId="393913E3">
            <w:pPr>
              <w:widowControl/>
              <w:spacing w:line="340" w:lineRule="exact"/>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是</w:t>
            </w:r>
          </w:p>
        </w:tc>
      </w:tr>
      <w:tr w14:paraId="21F1FE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vMerge w:val="continue"/>
            <w:vAlign w:val="center"/>
          </w:tcPr>
          <w:p w14:paraId="2F2C0486">
            <w:pPr>
              <w:widowControl/>
              <w:spacing w:line="34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46B660DF">
            <w:pPr>
              <w:widowControl/>
              <w:spacing w:line="340" w:lineRule="exact"/>
              <w:jc w:val="left"/>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w:t>h) 与其他用于诊断、监测或治疗的医疗器械互相干扰导致的风险。</w:t>
            </w:r>
          </w:p>
        </w:tc>
        <w:tc>
          <w:tcPr>
            <w:tcW w:w="1701" w:type="dxa"/>
            <w:shd w:val="clear" w:color="auto" w:fill="auto"/>
            <w:vAlign w:val="center"/>
          </w:tcPr>
          <w:p w14:paraId="5DAF1CD5">
            <w:pPr>
              <w:widowControl/>
              <w:spacing w:line="340" w:lineRule="exact"/>
              <w:jc w:val="center"/>
              <w:rPr>
                <w:rFonts w:ascii="仿宋_GB2312" w:hAnsi="Times New Roman" w:eastAsia="仿宋_GB2312" w:cs="Times New Roman"/>
                <w:color w:val="000000"/>
                <w:kern w:val="0"/>
                <w:sz w:val="28"/>
                <w:szCs w:val="28"/>
              </w:rPr>
            </w:pPr>
            <w:r>
              <w:rPr>
                <w:rFonts w:hint="eastAsia" w:ascii="仿宋_GB2312" w:hAnsi="Times New Roman" w:eastAsia="仿宋_GB2312" w:cs="Times New Roman"/>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238125</wp:posOffset>
                      </wp:positionH>
                      <wp:positionV relativeFrom="paragraph">
                        <wp:posOffset>419100</wp:posOffset>
                      </wp:positionV>
                      <wp:extent cx="800100" cy="419100"/>
                      <wp:effectExtent l="0" t="0" r="19050" b="19050"/>
                      <wp:wrapNone/>
                      <wp:docPr id="41" name="矩形 41"/>
                      <wp:cNvGraphicFramePr/>
                      <a:graphic xmlns:a="http://schemas.openxmlformats.org/drawingml/2006/main">
                        <a:graphicData uri="http://schemas.microsoft.com/office/word/2010/wordprocessingShape">
                          <wps:wsp>
                            <wps:cNvSpPr/>
                            <wps:spPr>
                              <a:xfrm>
                                <a:off x="0" y="0"/>
                                <a:ext cx="8001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75pt;margin-top:33pt;height:33pt;width:63pt;z-index:251670528;v-text-anchor:middle;mso-width-relative:page;mso-height-relative:page;" fillcolor="#FFFFFF [3212]" filled="t" stroked="t" coordsize="21600,21600" o:gfxdata="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KP1&#10;Z9kAAAAJAQAADwAAAAAAAAABACAAAAAiAAAAZHJzL2Rvd25yZXYueG1sUEsBAhQAFAAAAAgAh07i&#10;QBo4KLRaAgAA3gQAAA4AAAAAAAAAAQAgAAAAKAEAAGRycy9lMm9Eb2MueG1sUEsFBgAAAAAGAAYA&#10;WQEAAPQFAAAAAA==&#10;">
                      <v:fill on="t" focussize="0,0"/>
                      <v:stroke weight="2pt" color="#FFFFFF [3212]" joinstyle="round"/>
                      <v:imagedata o:title=""/>
                      <o:lock v:ext="edit" aspectratio="f"/>
                    </v:rect>
                  </w:pict>
                </mc:Fallback>
              </mc:AlternateContent>
            </w:r>
            <w:r>
              <w:rPr>
                <w:rFonts w:hint="eastAsia" w:ascii="仿宋_GB2312" w:hAnsi="Times New Roman" w:eastAsia="仿宋_GB2312" w:cs="Times New Roman"/>
                <w:color w:val="000000"/>
                <w:kern w:val="0"/>
                <w:sz w:val="28"/>
                <w:szCs w:val="28"/>
              </w:rPr>
              <w:t>是</w:t>
            </w:r>
          </w:p>
        </w:tc>
      </w:tr>
      <w:tr w14:paraId="5AFF33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0" w:hRule="atLeast"/>
        </w:trPr>
        <w:tc>
          <w:tcPr>
            <w:tcW w:w="1377" w:type="dxa"/>
            <w:shd w:val="clear" w:color="auto" w:fill="auto"/>
            <w:vAlign w:val="center"/>
          </w:tcPr>
          <w:p w14:paraId="5BC52BBC">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A5.3</w:t>
            </w:r>
          </w:p>
        </w:tc>
        <w:tc>
          <w:tcPr>
            <w:tcW w:w="10266" w:type="dxa"/>
            <w:shd w:val="clear" w:color="auto" w:fill="auto"/>
            <w:vAlign w:val="center"/>
          </w:tcPr>
          <w:p w14:paraId="362BBE2A">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医疗器械的设计和生产应消除或降低在正常状态及单一故障状态下燃烧和爆炸的风险，尤其是预期用途包括暴露于易燃、易爆物质或其他可致燃物相关的器械联用。</w:t>
            </w:r>
          </w:p>
        </w:tc>
        <w:tc>
          <w:tcPr>
            <w:tcW w:w="1701" w:type="dxa"/>
            <w:shd w:val="clear" w:color="auto" w:fill="auto"/>
            <w:vAlign w:val="center"/>
          </w:tcPr>
          <w:p w14:paraId="472B1631">
            <w:pPr>
              <w:widowControl/>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是</w:t>
            </w:r>
          </w:p>
        </w:tc>
      </w:tr>
      <w:tr w14:paraId="30844C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vMerge w:val="restart"/>
            <w:shd w:val="clear" w:color="auto" w:fill="auto"/>
            <w:vAlign w:val="center"/>
          </w:tcPr>
          <w:p w14:paraId="0B747103">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A5.4</w:t>
            </w:r>
          </w:p>
        </w:tc>
        <w:tc>
          <w:tcPr>
            <w:tcW w:w="10266" w:type="dxa"/>
            <w:shd w:val="clear" w:color="auto" w:fill="auto"/>
            <w:vAlign w:val="center"/>
          </w:tcPr>
          <w:p w14:paraId="0D203285">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医疗器械的设计和生产应能确保调整、校准和维护过程能够安全有效的完成。</w:t>
            </w:r>
          </w:p>
        </w:tc>
        <w:tc>
          <w:tcPr>
            <w:tcW w:w="1701" w:type="dxa"/>
            <w:shd w:val="clear" w:color="auto" w:fill="auto"/>
            <w:vAlign w:val="center"/>
          </w:tcPr>
          <w:p w14:paraId="273ED529">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39105F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vMerge w:val="continue"/>
            <w:vAlign w:val="center"/>
          </w:tcPr>
          <w:p w14:paraId="5E6E2298">
            <w:pPr>
              <w:widowControl/>
              <w:spacing w:line="40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4231F7E9">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 对无法进行维护的医疗器械，如植入物，应尽量降低材料老化等风险；</w:t>
            </w:r>
          </w:p>
        </w:tc>
        <w:tc>
          <w:tcPr>
            <w:tcW w:w="1701" w:type="dxa"/>
            <w:shd w:val="clear" w:color="auto" w:fill="auto"/>
            <w:vAlign w:val="center"/>
          </w:tcPr>
          <w:p w14:paraId="1200858E">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701436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88" w:hRule="atLeast"/>
        </w:trPr>
        <w:tc>
          <w:tcPr>
            <w:tcW w:w="1377" w:type="dxa"/>
            <w:vMerge w:val="continue"/>
            <w:vAlign w:val="center"/>
          </w:tcPr>
          <w:p w14:paraId="4422B261">
            <w:pPr>
              <w:widowControl/>
              <w:spacing w:line="40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0221F973">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 对无法进行调整和校准的医疗器械，如某些类型的温度计，应尽量降低测量或控制机制精度的损失风险。</w:t>
            </w:r>
          </w:p>
        </w:tc>
        <w:tc>
          <w:tcPr>
            <w:tcW w:w="1701" w:type="dxa"/>
            <w:shd w:val="clear" w:color="auto" w:fill="auto"/>
            <w:vAlign w:val="center"/>
          </w:tcPr>
          <w:p w14:paraId="6C6B6BD2">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32B87E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62" w:hRule="atLeast"/>
        </w:trPr>
        <w:tc>
          <w:tcPr>
            <w:tcW w:w="1377" w:type="dxa"/>
            <w:shd w:val="clear" w:color="auto" w:fill="auto"/>
            <w:vAlign w:val="center"/>
          </w:tcPr>
          <w:p w14:paraId="52711EDE">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A5.5</w:t>
            </w:r>
          </w:p>
        </w:tc>
        <w:tc>
          <w:tcPr>
            <w:tcW w:w="10266" w:type="dxa"/>
            <w:shd w:val="clear" w:color="auto" w:fill="auto"/>
            <w:vAlign w:val="center"/>
          </w:tcPr>
          <w:p w14:paraId="58BA15B8">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与其他医疗器械或产品联合使用的医疗器械，其设计和生产应能保证互操作性和兼容性可靠且安全。</w:t>
            </w:r>
            <w:r>
              <w:rPr>
                <w:rFonts w:hint="eastAsia" w:ascii="仿宋_GB2312" w:hAnsi="Times New Roman" w:eastAsia="仿宋_GB2312" w:cs="Times New Roman"/>
                <w:color w:val="000000"/>
                <w:kern w:val="0"/>
                <w:sz w:val="28"/>
                <w:szCs w:val="28"/>
              </w:rPr>
              <mc:AlternateContent>
                <mc:Choice Requires="wps">
                  <w:drawing>
                    <wp:anchor distT="0" distB="0" distL="114300" distR="114300" simplePos="0" relativeHeight="251671552" behindDoc="0" locked="0" layoutInCell="1" allowOverlap="1">
                      <wp:simplePos x="0" y="0"/>
                      <wp:positionH relativeFrom="column">
                        <wp:posOffset>-6350</wp:posOffset>
                      </wp:positionH>
                      <wp:positionV relativeFrom="paragraph">
                        <wp:posOffset>1275715</wp:posOffset>
                      </wp:positionV>
                      <wp:extent cx="800100" cy="419100"/>
                      <wp:effectExtent l="0" t="0" r="19050" b="19050"/>
                      <wp:wrapNone/>
                      <wp:docPr id="47" name="矩形 47"/>
                      <wp:cNvGraphicFramePr/>
                      <a:graphic xmlns:a="http://schemas.openxmlformats.org/drawingml/2006/main">
                        <a:graphicData uri="http://schemas.microsoft.com/office/word/2010/wordprocessingShape">
                          <wps:wsp>
                            <wps:cNvSpPr/>
                            <wps:spPr>
                              <a:xfrm>
                                <a:off x="0" y="0"/>
                                <a:ext cx="8001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5pt;margin-top:100.45pt;height:33pt;width:63pt;z-index:251671552;v-text-anchor:middle;mso-width-relative:page;mso-height-relative:page;" fillcolor="#FFFFFF [3212]" filled="t" stroked="t" coordsize="21600,21600" o:gfxdata="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vZ&#10;W6rZAAAACgEAAA8AAAAAAAAAAQAgAAAAIgAAAGRycy9kb3ducmV2LnhtbFBLAQIUABQAAAAIAIdO&#10;4kDfsopbWwIAAN4EAAAOAAAAAAAAAAEAIAAAACgBAABkcnMvZTJvRG9jLnhtbFBLBQYAAAAABgAG&#10;AFkBAAD1BQAAAAA=&#10;">
                      <v:fill on="t" focussize="0,0"/>
                      <v:stroke weight="2pt" color="#FFFFFF [3212]" joinstyle="round"/>
                      <v:imagedata o:title=""/>
                      <o:lock v:ext="edit" aspectratio="f"/>
                    </v:rect>
                  </w:pict>
                </mc:Fallback>
              </mc:AlternateContent>
            </w:r>
          </w:p>
        </w:tc>
        <w:tc>
          <w:tcPr>
            <w:tcW w:w="1701" w:type="dxa"/>
            <w:shd w:val="clear" w:color="auto" w:fill="auto"/>
            <w:vAlign w:val="center"/>
          </w:tcPr>
          <w:p w14:paraId="75E02356">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如与其他移动终端、PACS、图像导航/融合、其他厂家生产的超声探头/超声导管或软件等联合使用时适用</w:t>
            </w:r>
          </w:p>
        </w:tc>
      </w:tr>
      <w:tr w14:paraId="028ABB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shd w:val="clear" w:color="auto" w:fill="auto"/>
            <w:vAlign w:val="center"/>
          </w:tcPr>
          <w:p w14:paraId="6AE808C0">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A5.6</w:t>
            </w:r>
          </w:p>
        </w:tc>
        <w:tc>
          <w:tcPr>
            <w:tcW w:w="10266" w:type="dxa"/>
            <w:shd w:val="clear" w:color="auto" w:fill="auto"/>
            <w:vAlign w:val="center"/>
          </w:tcPr>
          <w:p w14:paraId="62A4A27D">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医疗器械的设计和生产应能降低未经授权的访问风险，这种访问可能会妨碍器械正常运行，或造成安全隐患。</w:t>
            </w:r>
          </w:p>
        </w:tc>
        <w:tc>
          <w:tcPr>
            <w:tcW w:w="1701" w:type="dxa"/>
            <w:shd w:val="clear" w:color="auto" w:fill="auto"/>
            <w:vAlign w:val="center"/>
          </w:tcPr>
          <w:p w14:paraId="60FA6F3F">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6FDA6B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shd w:val="clear" w:color="auto" w:fill="auto"/>
            <w:vAlign w:val="center"/>
          </w:tcPr>
          <w:p w14:paraId="1F582620">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A5.7</w:t>
            </w:r>
          </w:p>
        </w:tc>
        <w:tc>
          <w:tcPr>
            <w:tcW w:w="10266" w:type="dxa"/>
            <w:shd w:val="clear" w:color="auto" w:fill="auto"/>
            <w:vAlign w:val="center"/>
          </w:tcPr>
          <w:p w14:paraId="13BB67DB">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具有测量、监视或有数值显示功能的医疗器械，其设计和生产应符合人体工程学/可用性原则，并应顾及器械预期用途、预期使用者、使用环境。</w:t>
            </w:r>
          </w:p>
        </w:tc>
        <w:tc>
          <w:tcPr>
            <w:tcW w:w="1701" w:type="dxa"/>
            <w:shd w:val="clear" w:color="auto" w:fill="auto"/>
            <w:vAlign w:val="center"/>
          </w:tcPr>
          <w:p w14:paraId="178BF8F4">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04D6E3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1377" w:type="dxa"/>
            <w:shd w:val="clear" w:color="auto" w:fill="auto"/>
            <w:vAlign w:val="center"/>
          </w:tcPr>
          <w:p w14:paraId="295CE1EE">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A5.8</w:t>
            </w:r>
          </w:p>
        </w:tc>
        <w:tc>
          <w:tcPr>
            <w:tcW w:w="10266" w:type="dxa"/>
            <w:shd w:val="clear" w:color="auto" w:fill="auto"/>
            <w:vAlign w:val="center"/>
          </w:tcPr>
          <w:p w14:paraId="6B543BE7">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医疗器械的设计和生产应便于使用者、患者或其他人员对其以及相关废弃物的安全处置或再利用。使用说明书应明确安全处置或回收的程序和方法。</w:t>
            </w:r>
          </w:p>
        </w:tc>
        <w:tc>
          <w:tcPr>
            <w:tcW w:w="1701" w:type="dxa"/>
            <w:shd w:val="clear" w:color="auto" w:fill="auto"/>
            <w:vAlign w:val="center"/>
          </w:tcPr>
          <w:p w14:paraId="198B01F5">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337CC4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42DCDB3F">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A6</w:t>
            </w:r>
          </w:p>
        </w:tc>
        <w:tc>
          <w:tcPr>
            <w:tcW w:w="11967" w:type="dxa"/>
            <w:gridSpan w:val="2"/>
            <w:shd w:val="clear" w:color="auto" w:fill="auto"/>
            <w:vAlign w:val="center"/>
          </w:tcPr>
          <w:p w14:paraId="2DD3DAC7">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对电气、机械和热风险的防护</w:t>
            </w:r>
          </w:p>
        </w:tc>
      </w:tr>
      <w:tr w14:paraId="0A64C6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1377" w:type="dxa"/>
            <w:shd w:val="clear" w:color="auto" w:fill="auto"/>
            <w:vAlign w:val="center"/>
          </w:tcPr>
          <w:p w14:paraId="54889C62">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A6.1</w:t>
            </w:r>
          </w:p>
        </w:tc>
        <w:tc>
          <w:tcPr>
            <w:tcW w:w="10266" w:type="dxa"/>
            <w:shd w:val="clear" w:color="auto" w:fill="auto"/>
            <w:vAlign w:val="center"/>
          </w:tcPr>
          <w:p w14:paraId="17E42F13">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医疗器械的设计和生产应具有机械相关的防护，保护使用者免于承受由诸如运动阻力、不稳定性和活动部件等引起的机械风险。</w:t>
            </w:r>
          </w:p>
        </w:tc>
        <w:tc>
          <w:tcPr>
            <w:tcW w:w="1701" w:type="dxa"/>
            <w:shd w:val="clear" w:color="auto" w:fill="auto"/>
            <w:vAlign w:val="center"/>
          </w:tcPr>
          <w:p w14:paraId="27EEACB8">
            <w:pPr>
              <w:widowControl/>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是</w:t>
            </w:r>
          </w:p>
        </w:tc>
      </w:tr>
      <w:tr w14:paraId="5E5943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1377" w:type="dxa"/>
            <w:shd w:val="clear" w:color="auto" w:fill="auto"/>
            <w:vAlign w:val="center"/>
          </w:tcPr>
          <w:p w14:paraId="572EED92">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A6.2</w:t>
            </w:r>
          </w:p>
        </w:tc>
        <w:tc>
          <w:tcPr>
            <w:tcW w:w="10266" w:type="dxa"/>
            <w:shd w:val="clear" w:color="auto" w:fill="auto"/>
            <w:vAlign w:val="center"/>
          </w:tcPr>
          <w:p w14:paraId="3E5CE496">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除非振动是器械特定性能的一部分，否则医疗器械的设计和生产应将产品振动导致的风险降到最低，应尽量采用限制振动（特别是振动源）的方法。</w:t>
            </w:r>
          </w:p>
        </w:tc>
        <w:tc>
          <w:tcPr>
            <w:tcW w:w="1701" w:type="dxa"/>
            <w:shd w:val="clear" w:color="auto" w:fill="auto"/>
            <w:vAlign w:val="center"/>
          </w:tcPr>
          <w:p w14:paraId="0CBA3393">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4602EB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1377" w:type="dxa"/>
            <w:shd w:val="clear" w:color="auto" w:fill="auto"/>
            <w:vAlign w:val="center"/>
          </w:tcPr>
          <w:p w14:paraId="21720437">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A6.3</w:t>
            </w:r>
          </w:p>
        </w:tc>
        <w:tc>
          <w:tcPr>
            <w:tcW w:w="10266" w:type="dxa"/>
            <w:shd w:val="clear" w:color="auto" w:fill="auto"/>
            <w:vAlign w:val="center"/>
          </w:tcPr>
          <w:p w14:paraId="2E186BAD">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除非噪声是器械特定性能的一部分，否则医疗器械设计和生产应将产品噪声导致的风险降到最低，应尽量采用限制噪声（特别是噪声源）的方法。</w:t>
            </w:r>
          </w:p>
        </w:tc>
        <w:tc>
          <w:tcPr>
            <w:tcW w:w="1701" w:type="dxa"/>
            <w:shd w:val="clear" w:color="auto" w:fill="auto"/>
            <w:vAlign w:val="center"/>
          </w:tcPr>
          <w:p w14:paraId="79E7A070">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582D0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shd w:val="clear" w:color="auto" w:fill="auto"/>
            <w:vAlign w:val="center"/>
          </w:tcPr>
          <w:p w14:paraId="79179FB6">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A6.4</w:t>
            </w:r>
          </w:p>
        </w:tc>
        <w:tc>
          <w:tcPr>
            <w:tcW w:w="10266" w:type="dxa"/>
            <w:shd w:val="clear" w:color="auto" w:fill="auto"/>
            <w:vAlign w:val="center"/>
          </w:tcPr>
          <w:p w14:paraId="1A5709D9">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如果医疗器械的部件在使用前或使用中需要进行连接或重新连接，其设计和生产应降低这些部件间的连接故障风险。</w:t>
            </w:r>
          </w:p>
        </w:tc>
        <w:tc>
          <w:tcPr>
            <w:tcW w:w="1701" w:type="dxa"/>
            <w:shd w:val="clear" w:color="auto" w:fill="auto"/>
            <w:vAlign w:val="center"/>
          </w:tcPr>
          <w:p w14:paraId="18217FB5">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13DD58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1377" w:type="dxa"/>
            <w:shd w:val="clear" w:color="auto" w:fill="auto"/>
            <w:vAlign w:val="center"/>
          </w:tcPr>
          <w:p w14:paraId="53617F67">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A6.5</w:t>
            </w:r>
          </w:p>
        </w:tc>
        <w:tc>
          <w:tcPr>
            <w:tcW w:w="10266" w:type="dxa"/>
            <w:shd w:val="clear" w:color="auto" w:fill="auto"/>
            <w:vAlign w:val="center"/>
          </w:tcPr>
          <w:p w14:paraId="5E616CA1">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医疗器械的可接触部件（不包括用于供热或既定温度设置部位）及其周围环境，在正常使用时不应存在过热风险。</w:t>
            </w:r>
          </w:p>
        </w:tc>
        <w:tc>
          <w:tcPr>
            <w:tcW w:w="1701" w:type="dxa"/>
            <w:shd w:val="clear" w:color="auto" w:fill="auto"/>
            <w:vAlign w:val="center"/>
          </w:tcPr>
          <w:p w14:paraId="5A915100">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09E8F4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2D8B79E8">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A7</w:t>
            </w:r>
          </w:p>
        </w:tc>
        <w:tc>
          <w:tcPr>
            <w:tcW w:w="11967" w:type="dxa"/>
            <w:gridSpan w:val="2"/>
            <w:shd w:val="clear" w:color="auto" w:fill="auto"/>
            <w:vAlign w:val="center"/>
          </w:tcPr>
          <w:p w14:paraId="5AD0736D">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有源医疗器械及与其连接的医疗器械</w:t>
            </w:r>
          </w:p>
        </w:tc>
      </w:tr>
      <w:tr w14:paraId="59985F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48FDFB77">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A7.1</w:t>
            </w:r>
          </w:p>
        </w:tc>
        <w:tc>
          <w:tcPr>
            <w:tcW w:w="10266" w:type="dxa"/>
            <w:shd w:val="clear" w:color="auto" w:fill="auto"/>
            <w:vAlign w:val="center"/>
          </w:tcPr>
          <w:p w14:paraId="52A4CD6F">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当有源医疗器械发生单一故障时，应采取适当的措施消除或降低因此而产生的风险。</w:t>
            </w:r>
          </w:p>
        </w:tc>
        <w:tc>
          <w:tcPr>
            <w:tcW w:w="1701" w:type="dxa"/>
            <w:shd w:val="clear" w:color="auto" w:fill="auto"/>
            <w:vAlign w:val="center"/>
          </w:tcPr>
          <w:p w14:paraId="176A06ED">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mc:AlternateContent>
                <mc:Choice Requires="wps">
                  <w:drawing>
                    <wp:anchor distT="0" distB="0" distL="114300" distR="114300" simplePos="0" relativeHeight="251676672" behindDoc="0" locked="0" layoutInCell="1" allowOverlap="1">
                      <wp:simplePos x="0" y="0"/>
                      <wp:positionH relativeFrom="column">
                        <wp:posOffset>158115</wp:posOffset>
                      </wp:positionH>
                      <wp:positionV relativeFrom="paragraph">
                        <wp:posOffset>553720</wp:posOffset>
                      </wp:positionV>
                      <wp:extent cx="1247775" cy="257175"/>
                      <wp:effectExtent l="0" t="0" r="28575" b="28575"/>
                      <wp:wrapNone/>
                      <wp:docPr id="59" name="矩形 59"/>
                      <wp:cNvGraphicFramePr/>
                      <a:graphic xmlns:a="http://schemas.openxmlformats.org/drawingml/2006/main">
                        <a:graphicData uri="http://schemas.microsoft.com/office/word/2010/wordprocessingShape">
                          <wps:wsp>
                            <wps:cNvSpPr/>
                            <wps:spPr>
                              <a:xfrm>
                                <a:off x="0" y="0"/>
                                <a:ext cx="1247775" cy="257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45pt;margin-top:43.6pt;height:20.25pt;width:98.25pt;z-index:251676672;v-text-anchor:middle;mso-width-relative:page;mso-height-relative:page;" fillcolor="#FFFFFF [3212]" filled="t" stroked="t" coordsize="21600,21600" o:gfxdata="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7WEBmNkAAAAJAQAADwAAAAAAAAABACAAAAAiAAAAZHJzL2Rvd25yZXYueG1sUEsBAhQAFAAAAAgA&#10;h07iQDPhKPNdAgAA3wQAAA4AAAAAAAAAAQAgAAAAKAEAAGRycy9lMm9Eb2MueG1sUEsFBgAAAAAG&#10;AAYAWQEAAPcFAAAAAA==&#10;">
                      <v:fill on="t" focussize="0,0"/>
                      <v:stroke weight="2pt" color="#FFFFFF [3212]" joinstyle="round"/>
                      <v:imagedata o:title=""/>
                      <o:lock v:ext="edit" aspectratio="f"/>
                    </v:rect>
                  </w:pict>
                </mc:Fallback>
              </mc:AlternateContent>
            </w:r>
            <w:r>
              <w:rPr>
                <w:rFonts w:ascii="Times New Roman" w:hAnsi="Times New Roman" w:eastAsia="仿宋_GB2312" w:cs="Times New Roman"/>
                <w:color w:val="000000"/>
                <w:kern w:val="0"/>
                <w:sz w:val="28"/>
                <w:szCs w:val="28"/>
              </w:rPr>
              <w:t>是</w:t>
            </w:r>
          </w:p>
        </w:tc>
      </w:tr>
      <w:tr w14:paraId="2DB6B5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1377" w:type="dxa"/>
            <w:shd w:val="clear" w:color="auto" w:fill="auto"/>
            <w:vAlign w:val="center"/>
          </w:tcPr>
          <w:p w14:paraId="458C14F0">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A7.2</w:t>
            </w:r>
          </w:p>
        </w:tc>
        <w:tc>
          <w:tcPr>
            <w:tcW w:w="10266" w:type="dxa"/>
            <w:shd w:val="clear" w:color="auto" w:fill="auto"/>
            <w:vAlign w:val="center"/>
          </w:tcPr>
          <w:p w14:paraId="2A0C157A">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患者的安全依赖于内部电源供电的医疗器械，应具有检测供电状态的功能，并在电源容量不足时提供适当的提示或警告。</w:t>
            </w:r>
          </w:p>
        </w:tc>
        <w:tc>
          <w:tcPr>
            <w:tcW w:w="1701" w:type="dxa"/>
            <w:shd w:val="clear" w:color="auto" w:fill="auto"/>
            <w:vAlign w:val="center"/>
          </w:tcPr>
          <w:p w14:paraId="2CA0BE71">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7B3646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shd w:val="clear" w:color="auto" w:fill="auto"/>
            <w:vAlign w:val="center"/>
          </w:tcPr>
          <w:p w14:paraId="5565FDF4">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A7.3</w:t>
            </w:r>
          </w:p>
        </w:tc>
        <w:tc>
          <w:tcPr>
            <w:tcW w:w="10266" w:type="dxa"/>
            <w:shd w:val="clear" w:color="auto" w:fill="auto"/>
            <w:vAlign w:val="center"/>
          </w:tcPr>
          <w:p w14:paraId="44CC56A0">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患者的安全取决于外部电源供电状态的医疗器械，应包括可显示任何电源故障的报警系统。</w:t>
            </w:r>
          </w:p>
        </w:tc>
        <w:tc>
          <w:tcPr>
            <w:tcW w:w="1701" w:type="dxa"/>
            <w:shd w:val="clear" w:color="auto" w:fill="auto"/>
            <w:vAlign w:val="center"/>
          </w:tcPr>
          <w:p w14:paraId="6E2421EC">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6D7F3F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shd w:val="clear" w:color="auto" w:fill="auto"/>
            <w:vAlign w:val="center"/>
          </w:tcPr>
          <w:p w14:paraId="6C491D97">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A7.4</w:t>
            </w:r>
          </w:p>
        </w:tc>
        <w:tc>
          <w:tcPr>
            <w:tcW w:w="10266" w:type="dxa"/>
            <w:shd w:val="clear" w:color="auto" w:fill="auto"/>
            <w:vAlign w:val="center"/>
          </w:tcPr>
          <w:p w14:paraId="4C01288F">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用于监视患者一个或多个临床指标的医疗器械，必须配备适当报警系统，在患者健康状况恶化或危及生命时，向使用者发出警报。</w:t>
            </w:r>
          </w:p>
        </w:tc>
        <w:tc>
          <w:tcPr>
            <w:tcW w:w="1701" w:type="dxa"/>
            <w:shd w:val="clear" w:color="auto" w:fill="auto"/>
            <w:vAlign w:val="center"/>
          </w:tcPr>
          <w:p w14:paraId="637DD5C8">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352425</wp:posOffset>
                      </wp:positionH>
                      <wp:positionV relativeFrom="paragraph">
                        <wp:posOffset>755015</wp:posOffset>
                      </wp:positionV>
                      <wp:extent cx="942975" cy="247650"/>
                      <wp:effectExtent l="0" t="0" r="28575" b="19050"/>
                      <wp:wrapNone/>
                      <wp:docPr id="23" name="圆角矩形 23"/>
                      <wp:cNvGraphicFramePr/>
                      <a:graphic xmlns:a="http://schemas.openxmlformats.org/drawingml/2006/main">
                        <a:graphicData uri="http://schemas.microsoft.com/office/word/2010/wordprocessingShape">
                          <wps:wsp>
                            <wps:cNvSpPr/>
                            <wps:spPr>
                              <a:xfrm>
                                <a:off x="0" y="0"/>
                                <a:ext cx="942975" cy="2476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7.75pt;margin-top:59.45pt;height:19.5pt;width:74.25pt;z-index:251662336;v-text-anchor:middle;mso-width-relative:page;mso-height-relative:page;" fillcolor="#FFFFFF [3212]" filled="t" stroked="t" coordsize="21600,21600" arcsize="0.166666666666667" o:gfxdata="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IjvUH2QAAAAoBAAAPAAAAAAAAAAEAIAAAACIAAABkcnMvZG93&#10;bnJldi54bWxQSwECFAAUAAAACACHTuJAfskvqnECAADpBAAADgAAAAAAAAABACAAAAAoAQAAZHJz&#10;L2Uyb0RvYy54bWxQSwUGAAAAAAYABgBZAQAACwYAAAAA&#10;">
                      <v:fill on="t" focussize="0,0"/>
                      <v:stroke weight="2pt" color="#FFFFFF [3212]" joinstyle="round"/>
                      <v:imagedata o:title=""/>
                      <o:lock v:ext="edit" aspectratio="f"/>
                    </v:roundrect>
                  </w:pict>
                </mc:Fallback>
              </mc:AlternateContent>
            </w:r>
            <w:r>
              <w:rPr>
                <w:rFonts w:ascii="Times New Roman" w:hAnsi="Times New Roman" w:eastAsia="仿宋_GB2312" w:cs="Times New Roman"/>
                <w:color w:val="000000"/>
                <w:kern w:val="0"/>
                <w:sz w:val="28"/>
                <w:szCs w:val="28"/>
              </w:rPr>
              <w:t>否</w:t>
            </w:r>
          </w:p>
        </w:tc>
      </w:tr>
      <w:tr w14:paraId="70F4FD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45BBEBBA">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A7.5</w:t>
            </w:r>
          </w:p>
        </w:tc>
        <w:tc>
          <w:tcPr>
            <w:tcW w:w="10266" w:type="dxa"/>
            <w:shd w:val="clear" w:color="auto" w:fill="auto"/>
            <w:vAlign w:val="center"/>
          </w:tcPr>
          <w:p w14:paraId="554F2AD7">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鉴于电磁干扰可能会损害正常运行的装置或设备，医疗器械的设计和生产应降低产生电磁干扰的风险。</w:t>
            </w:r>
          </w:p>
        </w:tc>
        <w:tc>
          <w:tcPr>
            <w:tcW w:w="1701" w:type="dxa"/>
            <w:shd w:val="clear" w:color="auto" w:fill="auto"/>
            <w:vAlign w:val="center"/>
          </w:tcPr>
          <w:p w14:paraId="592B6600">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416C4B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01AACF89">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A7.6</w:t>
            </w:r>
          </w:p>
        </w:tc>
        <w:tc>
          <w:tcPr>
            <w:tcW w:w="10266" w:type="dxa"/>
            <w:shd w:val="clear" w:color="auto" w:fill="auto"/>
            <w:vAlign w:val="center"/>
          </w:tcPr>
          <w:p w14:paraId="10E87059">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医疗器械的设计和生产，应确保产品具有足够的抗电磁干扰能力，以确保产品的正常运行。</w:t>
            </w:r>
          </w:p>
        </w:tc>
        <w:tc>
          <w:tcPr>
            <w:tcW w:w="1701" w:type="dxa"/>
            <w:shd w:val="clear" w:color="auto" w:fill="auto"/>
            <w:vAlign w:val="center"/>
          </w:tcPr>
          <w:p w14:paraId="402AB4F1">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10010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1377" w:type="dxa"/>
            <w:shd w:val="clear" w:color="auto" w:fill="auto"/>
            <w:vAlign w:val="center"/>
          </w:tcPr>
          <w:p w14:paraId="7290D8CD">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A7.7</w:t>
            </w:r>
          </w:p>
        </w:tc>
        <w:tc>
          <w:tcPr>
            <w:tcW w:w="10266" w:type="dxa"/>
            <w:shd w:val="clear" w:color="auto" w:fill="auto"/>
            <w:vAlign w:val="center"/>
          </w:tcPr>
          <w:p w14:paraId="39DA33E6">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当产品按申请人的说明进行安装和维护，在正常状态和单一故障状态时，医疗器械的设计和生产应减少使用者和他人免于遭受意外电击的风险。</w:t>
            </w:r>
          </w:p>
        </w:tc>
        <w:tc>
          <w:tcPr>
            <w:tcW w:w="1701" w:type="dxa"/>
            <w:shd w:val="clear" w:color="auto" w:fill="auto"/>
            <w:vAlign w:val="center"/>
          </w:tcPr>
          <w:p w14:paraId="0305C91D">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649175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126CA37C">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A8</w:t>
            </w:r>
          </w:p>
        </w:tc>
        <w:tc>
          <w:tcPr>
            <w:tcW w:w="11967" w:type="dxa"/>
            <w:gridSpan w:val="2"/>
            <w:shd w:val="clear" w:color="auto" w:fill="auto"/>
            <w:vAlign w:val="center"/>
          </w:tcPr>
          <w:p w14:paraId="6CC88B36">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含有软件的医疗器械以及独立软件</w:t>
            </w:r>
          </w:p>
        </w:tc>
      </w:tr>
      <w:tr w14:paraId="289DD1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tcBorders>
              <w:bottom w:val="single" w:color="000000" w:themeColor="text1" w:sz="8" w:space="0"/>
            </w:tcBorders>
            <w:shd w:val="clear" w:color="auto" w:fill="auto"/>
            <w:vAlign w:val="center"/>
          </w:tcPr>
          <w:p w14:paraId="3B49222E">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A8.1</w:t>
            </w:r>
          </w:p>
        </w:tc>
        <w:tc>
          <w:tcPr>
            <w:tcW w:w="10266" w:type="dxa"/>
            <w:tcBorders>
              <w:bottom w:val="single" w:color="000000" w:themeColor="text1" w:sz="8" w:space="0"/>
            </w:tcBorders>
            <w:shd w:val="clear" w:color="auto" w:fill="auto"/>
            <w:vAlign w:val="center"/>
          </w:tcPr>
          <w:p w14:paraId="7FB10896">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1701" w:type="dxa"/>
            <w:shd w:val="clear" w:color="auto" w:fill="auto"/>
            <w:vAlign w:val="center"/>
          </w:tcPr>
          <w:p w14:paraId="45A36671">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43AEF4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7" w:hRule="atLeast"/>
        </w:trPr>
        <w:tc>
          <w:tcPr>
            <w:tcW w:w="1377" w:type="dxa"/>
            <w:tcBorders>
              <w:top w:val="single" w:color="000000" w:themeColor="text1" w:sz="8" w:space="0"/>
            </w:tcBorders>
            <w:shd w:val="clear" w:color="auto" w:fill="auto"/>
            <w:vAlign w:val="center"/>
          </w:tcPr>
          <w:p w14:paraId="498C0309">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A8.2</w:t>
            </w:r>
          </w:p>
        </w:tc>
        <w:tc>
          <w:tcPr>
            <w:tcW w:w="10266" w:type="dxa"/>
            <w:tcBorders>
              <w:top w:val="single" w:color="000000" w:themeColor="text1" w:sz="8" w:space="0"/>
            </w:tcBorders>
            <w:shd w:val="clear" w:color="auto" w:fill="auto"/>
            <w:vAlign w:val="center"/>
          </w:tcPr>
          <w:p w14:paraId="1B5D4D1C">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含有软件组件的医疗器械或独立软件，应根据先进技术进行开发、生产和维护，同时应考虑开发生存周期（如快速迭代开发、频繁更新、更新的累积效应）、风险管理（如系统、环境和数据的变化）等原则</w:t>
            </w:r>
            <w:r>
              <w:rPr>
                <w:rFonts w:ascii="Times New Roman" w:hAnsi="Times New Roman" w:eastAsia="仿宋_GB2312" w:cs="Times New Roman"/>
                <w:color w:val="FF0000"/>
                <w:kern w:val="0"/>
                <w:sz w:val="28"/>
                <w:szCs w:val="28"/>
              </w:rPr>
              <w:t>，</w:t>
            </w:r>
            <w:r>
              <w:rPr>
                <w:rFonts w:ascii="Times New Roman" w:hAnsi="Times New Roman" w:eastAsia="仿宋_GB2312" w:cs="Times New Roman"/>
                <w:color w:val="000000"/>
                <w:kern w:val="0"/>
                <w:sz w:val="28"/>
                <w:szCs w:val="28"/>
              </w:rPr>
              <w:t>包括信息安全（如安全地进行更新）、验证和确认（如更新管理过程）的要求。</w:t>
            </w:r>
          </w:p>
        </w:tc>
        <w:tc>
          <w:tcPr>
            <w:tcW w:w="1701" w:type="dxa"/>
            <w:shd w:val="clear" w:color="auto" w:fill="auto"/>
            <w:vAlign w:val="center"/>
          </w:tcPr>
          <w:p w14:paraId="6563E0AB">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2FF00B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shd w:val="clear" w:color="auto" w:fill="auto"/>
            <w:vAlign w:val="center"/>
          </w:tcPr>
          <w:p w14:paraId="29E61642">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A8.3</w:t>
            </w:r>
          </w:p>
        </w:tc>
        <w:tc>
          <w:tcPr>
            <w:tcW w:w="10266" w:type="dxa"/>
            <w:tcBorders>
              <w:top w:val="single" w:color="000000" w:themeColor="text1" w:sz="8" w:space="0"/>
            </w:tcBorders>
            <w:shd w:val="clear" w:color="auto" w:fill="auto"/>
            <w:vAlign w:val="center"/>
          </w:tcPr>
          <w:p w14:paraId="7AF0BA50">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预期与移动计算平台整合使用的软件，其设计和开发，应考虑平台本身（如屏幕尺寸和对比度、联通性、内存等）以及与其使用相关的外部因素（不同环境下的照明或噪声水平）。</w:t>
            </w:r>
          </w:p>
        </w:tc>
        <w:tc>
          <w:tcPr>
            <w:tcW w:w="1701" w:type="dxa"/>
            <w:tcBorders>
              <w:top w:val="single" w:color="000000" w:themeColor="text1" w:sz="8" w:space="0"/>
            </w:tcBorders>
            <w:shd w:val="clear" w:color="auto" w:fill="auto"/>
            <w:vAlign w:val="center"/>
          </w:tcPr>
          <w:p w14:paraId="00289530">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移动平台产品适用</w:t>
            </w:r>
          </w:p>
        </w:tc>
      </w:tr>
      <w:tr w14:paraId="09F646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shd w:val="clear" w:color="auto" w:fill="auto"/>
            <w:vAlign w:val="center"/>
          </w:tcPr>
          <w:p w14:paraId="26EEAA5F">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A8.4</w:t>
            </w:r>
          </w:p>
        </w:tc>
        <w:tc>
          <w:tcPr>
            <w:tcW w:w="10266" w:type="dxa"/>
            <w:shd w:val="clear" w:color="auto" w:fill="auto"/>
            <w:vAlign w:val="center"/>
          </w:tcPr>
          <w:p w14:paraId="2D0ACA1E">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申请人应规定软件按照预期正常运行所必须的最低要求，如硬件、IT网络特性和IT网络安全措施，包括未经授权的访问。</w:t>
            </w:r>
          </w:p>
        </w:tc>
        <w:tc>
          <w:tcPr>
            <w:tcW w:w="1701" w:type="dxa"/>
            <w:shd w:val="clear" w:color="auto" w:fill="auto"/>
            <w:vAlign w:val="center"/>
          </w:tcPr>
          <w:p w14:paraId="11F89EF1">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2706AB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47F43ED5">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A8.5</w:t>
            </w:r>
          </w:p>
        </w:tc>
        <w:tc>
          <w:tcPr>
            <w:tcW w:w="10266" w:type="dxa"/>
            <w:shd w:val="clear" w:color="auto" w:fill="auto"/>
            <w:vAlign w:val="center"/>
          </w:tcPr>
          <w:p w14:paraId="001B4E12">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医疗器械的设计、生产和维护应能提供足够的网络安全水平，以防止未经授权的访问。</w:t>
            </w:r>
          </w:p>
        </w:tc>
        <w:tc>
          <w:tcPr>
            <w:tcW w:w="1701" w:type="dxa"/>
            <w:shd w:val="clear" w:color="auto" w:fill="auto"/>
            <w:vAlign w:val="center"/>
          </w:tcPr>
          <w:p w14:paraId="328EB01A">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4DEB11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45F569C9">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A9</w:t>
            </w:r>
          </w:p>
        </w:tc>
        <w:tc>
          <w:tcPr>
            <w:tcW w:w="11967" w:type="dxa"/>
            <w:gridSpan w:val="2"/>
            <w:shd w:val="clear" w:color="auto" w:fill="auto"/>
            <w:vAlign w:val="center"/>
          </w:tcPr>
          <w:p w14:paraId="72E81E9B">
            <w:pPr>
              <w:widowControl/>
              <w:spacing w:line="400" w:lineRule="exact"/>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具有诊断或测量功能的医疗器械</w:t>
            </w:r>
          </w:p>
        </w:tc>
      </w:tr>
      <w:tr w14:paraId="2FB3C6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vMerge w:val="restart"/>
            <w:shd w:val="clear" w:color="auto" w:fill="auto"/>
            <w:vAlign w:val="center"/>
          </w:tcPr>
          <w:p w14:paraId="4E038D84">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A9.1</w:t>
            </w:r>
          </w:p>
        </w:tc>
        <w:tc>
          <w:tcPr>
            <w:tcW w:w="10266" w:type="dxa"/>
            <w:shd w:val="clear" w:color="auto" w:fill="auto"/>
            <w:vAlign w:val="center"/>
          </w:tcPr>
          <w:p w14:paraId="7958D2EC">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具有诊断或测量（包括监测）功能的医疗器械的设计和生产，应基于适当的科技方法，除其他性能外，还应确保相应的准确度、精密度和稳定性，以实现其预期目的。</w:t>
            </w:r>
          </w:p>
        </w:tc>
        <w:tc>
          <w:tcPr>
            <w:tcW w:w="1701" w:type="dxa"/>
            <w:shd w:val="clear" w:color="auto" w:fill="auto"/>
            <w:vAlign w:val="center"/>
          </w:tcPr>
          <w:p w14:paraId="5FA09CFF">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如有测量功能适用</w:t>
            </w:r>
          </w:p>
        </w:tc>
      </w:tr>
      <w:tr w14:paraId="31DA5D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vMerge w:val="continue"/>
            <w:vAlign w:val="center"/>
          </w:tcPr>
          <w:p w14:paraId="1EDF1426">
            <w:pPr>
              <w:widowControl/>
              <w:spacing w:line="40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6F14AF92">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 申请人应规定准确度限值（如适用）。</w:t>
            </w:r>
          </w:p>
        </w:tc>
        <w:tc>
          <w:tcPr>
            <w:tcW w:w="1701" w:type="dxa"/>
            <w:shd w:val="clear" w:color="auto" w:fill="auto"/>
            <w:vAlign w:val="center"/>
          </w:tcPr>
          <w:p w14:paraId="07A075F8">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如有测量功能适用</w:t>
            </w:r>
          </w:p>
        </w:tc>
      </w:tr>
      <w:tr w14:paraId="10DACB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vMerge w:val="continue"/>
            <w:vAlign w:val="center"/>
          </w:tcPr>
          <w:p w14:paraId="213CDAC8">
            <w:pPr>
              <w:widowControl/>
              <w:spacing w:line="40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36A1F942">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 为便于使用者理解和接受，数字化测量值应以标准化单位表示（如可能），推荐使用国际通用的标准计量单位，考虑到安全、使用者的熟悉程度和既往的临床实践，也可使用其他公认的计量单位。</w:t>
            </w:r>
          </w:p>
        </w:tc>
        <w:tc>
          <w:tcPr>
            <w:tcW w:w="1701" w:type="dxa"/>
            <w:shd w:val="clear" w:color="auto" w:fill="auto"/>
            <w:vAlign w:val="center"/>
          </w:tcPr>
          <w:p w14:paraId="7EE42134">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146B61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vMerge w:val="continue"/>
            <w:vAlign w:val="center"/>
          </w:tcPr>
          <w:p w14:paraId="34D08BBE">
            <w:pPr>
              <w:widowControl/>
              <w:spacing w:line="40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3F8DC1E7">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c) 医疗器械导示器和控制器的功能应有详细的说明，若器械通过可视化系统提供与操作、操作指示或调整参数有关的说明，该类信息应能够被使用者和患者（适用时）理解。</w:t>
            </w:r>
          </w:p>
        </w:tc>
        <w:tc>
          <w:tcPr>
            <w:tcW w:w="1701" w:type="dxa"/>
            <w:shd w:val="clear" w:color="auto" w:fill="auto"/>
            <w:vAlign w:val="center"/>
          </w:tcPr>
          <w:p w14:paraId="3C549881">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5DE5DF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vAlign w:val="center"/>
          </w:tcPr>
          <w:p w14:paraId="768F41B9">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A10</w:t>
            </w:r>
          </w:p>
        </w:tc>
        <w:tc>
          <w:tcPr>
            <w:tcW w:w="11967" w:type="dxa"/>
            <w:gridSpan w:val="2"/>
            <w:shd w:val="clear" w:color="auto" w:fill="auto"/>
            <w:vAlign w:val="center"/>
          </w:tcPr>
          <w:p w14:paraId="70D95D86">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mc:AlternateContent>
                <mc:Choice Requires="wps">
                  <w:drawing>
                    <wp:anchor distT="0" distB="0" distL="114300" distR="114300" simplePos="0" relativeHeight="251677696" behindDoc="0" locked="0" layoutInCell="1" allowOverlap="1">
                      <wp:simplePos x="0" y="0"/>
                      <wp:positionH relativeFrom="column">
                        <wp:posOffset>6647815</wp:posOffset>
                      </wp:positionH>
                      <wp:positionV relativeFrom="paragraph">
                        <wp:posOffset>435610</wp:posOffset>
                      </wp:positionV>
                      <wp:extent cx="1000125" cy="381000"/>
                      <wp:effectExtent l="0" t="0" r="28575" b="19050"/>
                      <wp:wrapNone/>
                      <wp:docPr id="61" name="矩形 61"/>
                      <wp:cNvGraphicFramePr/>
                      <a:graphic xmlns:a="http://schemas.openxmlformats.org/drawingml/2006/main">
                        <a:graphicData uri="http://schemas.microsoft.com/office/word/2010/wordprocessingShape">
                          <wps:wsp>
                            <wps:cNvSpPr/>
                            <wps:spPr>
                              <a:xfrm>
                                <a:off x="0" y="0"/>
                                <a:ext cx="1000125"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23.45pt;margin-top:34.3pt;height:30pt;width:78.75pt;z-index:251677696;v-text-anchor:middle;mso-width-relative:page;mso-height-relative:page;" fillcolor="#FFFFFF [3212]" filled="t" stroked="t" coordsize="21600,21600" o:gfxdata="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K&#10;zvic2QAAAAwBAAAPAAAAAAAAAAEAIAAAACIAAABkcnMvZG93bnJldi54bWxQSwECFAAUAAAACACH&#10;TuJA/44a4VwCAADfBAAADgAAAAAAAAABACAAAAAoAQAAZHJzL2Uyb0RvYy54bWxQSwUGAAAAAAYA&#10;BgBZAQAA9gUAAAAA&#10;">
                      <v:fill on="t" focussize="0,0"/>
                      <v:stroke weight="2pt" color="#FFFFFF [3212]" joinstyle="round"/>
                      <v:imagedata o:title=""/>
                      <o:lock v:ext="edit" aspectratio="f"/>
                    </v:rect>
                  </w:pict>
                </mc:Fallback>
              </mc:AlternateContent>
            </w:r>
            <w:r>
              <w:rPr>
                <w:rFonts w:ascii="Times New Roman" w:hAnsi="Times New Roman" w:eastAsia="仿宋_GB2312" w:cs="Times New Roman"/>
                <w:color w:val="000000"/>
                <w:kern w:val="0"/>
                <w:sz w:val="28"/>
                <w:szCs w:val="28"/>
              </w:rPr>
              <w:t>说明书和标签</w:t>
            </w:r>
          </w:p>
        </w:tc>
      </w:tr>
      <w:tr w14:paraId="44E4E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2" w:hRule="atLeast"/>
        </w:trPr>
        <w:tc>
          <w:tcPr>
            <w:tcW w:w="1377" w:type="dxa"/>
            <w:shd w:val="clear" w:color="auto" w:fill="auto"/>
            <w:vAlign w:val="center"/>
          </w:tcPr>
          <w:p w14:paraId="56C2F5BE">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A10.1</w:t>
            </w:r>
          </w:p>
        </w:tc>
        <w:tc>
          <w:tcPr>
            <w:tcW w:w="10266" w:type="dxa"/>
            <w:shd w:val="clear" w:color="auto" w:fill="auto"/>
            <w:vAlign w:val="center"/>
          </w:tcPr>
          <w:p w14:paraId="105A6A92">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1701" w:type="dxa"/>
            <w:shd w:val="clear" w:color="auto" w:fill="auto"/>
            <w:vAlign w:val="center"/>
          </w:tcPr>
          <w:p w14:paraId="77B70FC5">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24D11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1BEF745B">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A11</w:t>
            </w:r>
          </w:p>
        </w:tc>
        <w:tc>
          <w:tcPr>
            <w:tcW w:w="11967" w:type="dxa"/>
            <w:gridSpan w:val="2"/>
            <w:shd w:val="clear" w:color="auto" w:fill="auto"/>
            <w:vAlign w:val="center"/>
          </w:tcPr>
          <w:p w14:paraId="4C4F99EE">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辐射防护</w:t>
            </w:r>
          </w:p>
        </w:tc>
      </w:tr>
      <w:tr w14:paraId="726A8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shd w:val="clear" w:color="auto" w:fill="auto"/>
            <w:vAlign w:val="center"/>
          </w:tcPr>
          <w:p w14:paraId="042937A2">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A11.1</w:t>
            </w:r>
          </w:p>
        </w:tc>
        <w:tc>
          <w:tcPr>
            <w:tcW w:w="10266" w:type="dxa"/>
            <w:shd w:val="clear" w:color="auto" w:fill="auto"/>
            <w:vAlign w:val="center"/>
          </w:tcPr>
          <w:p w14:paraId="3C47ED3C">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医疗器械的设计、生产和包装应当考虑尽量减少使用者、他人和患者（如适用）的辐射吸收剂量，同时不影响其诊断或治疗功能。</w:t>
            </w:r>
          </w:p>
        </w:tc>
        <w:tc>
          <w:tcPr>
            <w:tcW w:w="1701" w:type="dxa"/>
            <w:shd w:val="clear" w:color="auto" w:fill="auto"/>
            <w:vAlign w:val="center"/>
          </w:tcPr>
          <w:p w14:paraId="2E64F728">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7E140C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2" w:hRule="atLeast"/>
        </w:trPr>
        <w:tc>
          <w:tcPr>
            <w:tcW w:w="1377" w:type="dxa"/>
            <w:shd w:val="clear" w:color="auto" w:fill="auto"/>
            <w:vAlign w:val="center"/>
          </w:tcPr>
          <w:p w14:paraId="7B48D057">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A11.2</w:t>
            </w:r>
          </w:p>
        </w:tc>
        <w:tc>
          <w:tcPr>
            <w:tcW w:w="10266" w:type="dxa"/>
            <w:shd w:val="clear" w:color="auto" w:fill="auto"/>
            <w:vAlign w:val="center"/>
          </w:tcPr>
          <w:p w14:paraId="336D886D">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具有辐射或潜在辐射危害的医疗器械，其操作说明应详细说明辐射的性质，对使用者、他人或患者（若适用）的防护措施，避免误用的方法，降低运输、贮存和安装的风险。</w:t>
            </w:r>
          </w:p>
        </w:tc>
        <w:tc>
          <w:tcPr>
            <w:tcW w:w="1701" w:type="dxa"/>
            <w:shd w:val="clear" w:color="auto" w:fill="auto"/>
            <w:vAlign w:val="center"/>
          </w:tcPr>
          <w:p w14:paraId="0C1789F4">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46E8C6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6235AF7D">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A11.3</w:t>
            </w:r>
          </w:p>
        </w:tc>
        <w:tc>
          <w:tcPr>
            <w:tcW w:w="10266" w:type="dxa"/>
            <w:shd w:val="clear" w:color="auto" w:fill="auto"/>
            <w:vAlign w:val="center"/>
          </w:tcPr>
          <w:p w14:paraId="409A4C5D">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若医疗器械有辐射或有潜在辐射危害，应具备辐射泄漏声光报警功能（如可行）。</w:t>
            </w:r>
          </w:p>
        </w:tc>
        <w:tc>
          <w:tcPr>
            <w:tcW w:w="1701" w:type="dxa"/>
            <w:shd w:val="clear" w:color="auto" w:fill="auto"/>
            <w:vAlign w:val="center"/>
          </w:tcPr>
          <w:p w14:paraId="7A707295">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6538D0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 w:hRule="atLeast"/>
        </w:trPr>
        <w:tc>
          <w:tcPr>
            <w:tcW w:w="1377" w:type="dxa"/>
            <w:shd w:val="clear" w:color="auto" w:fill="auto"/>
            <w:vAlign w:val="center"/>
          </w:tcPr>
          <w:p w14:paraId="6B1106A8">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A11.4</w:t>
            </w:r>
          </w:p>
        </w:tc>
        <w:tc>
          <w:tcPr>
            <w:tcW w:w="10266" w:type="dxa"/>
            <w:shd w:val="clear" w:color="auto" w:fill="auto"/>
            <w:vAlign w:val="center"/>
          </w:tcPr>
          <w:p w14:paraId="07394AAE">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1701" w:type="dxa"/>
            <w:shd w:val="clear" w:color="auto" w:fill="auto"/>
            <w:vAlign w:val="center"/>
          </w:tcPr>
          <w:p w14:paraId="3BF29B33">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009C54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shd w:val="clear" w:color="auto" w:fill="auto"/>
            <w:vAlign w:val="center"/>
          </w:tcPr>
          <w:p w14:paraId="4FB27ABE">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A11.5</w:t>
            </w:r>
          </w:p>
        </w:tc>
        <w:tc>
          <w:tcPr>
            <w:tcW w:w="10266" w:type="dxa"/>
            <w:shd w:val="clear" w:color="auto" w:fill="auto"/>
            <w:vAlign w:val="center"/>
          </w:tcPr>
          <w:p w14:paraId="0D1BA28B">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具有辐射或潜在辐射危害且需要安装的医疗器械，应在操作说明中明确有关验收和性能测试、验收标准及维护程序的信息。</w:t>
            </w:r>
          </w:p>
        </w:tc>
        <w:tc>
          <w:tcPr>
            <w:tcW w:w="1701" w:type="dxa"/>
            <w:shd w:val="clear" w:color="auto" w:fill="auto"/>
            <w:vAlign w:val="center"/>
          </w:tcPr>
          <w:p w14:paraId="783767F7">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4D1949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87" w:hRule="atLeast"/>
        </w:trPr>
        <w:tc>
          <w:tcPr>
            <w:tcW w:w="1377" w:type="dxa"/>
            <w:shd w:val="clear" w:color="auto" w:fill="auto"/>
            <w:vAlign w:val="center"/>
          </w:tcPr>
          <w:p w14:paraId="086D65C9">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A11.6</w:t>
            </w:r>
          </w:p>
        </w:tc>
        <w:tc>
          <w:tcPr>
            <w:tcW w:w="10266" w:type="dxa"/>
            <w:shd w:val="clear" w:color="auto" w:fill="auto"/>
            <w:vAlign w:val="center"/>
          </w:tcPr>
          <w:p w14:paraId="67E67D6D">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701" w:type="dxa"/>
            <w:shd w:val="clear" w:color="auto" w:fill="auto"/>
            <w:vAlign w:val="center"/>
          </w:tcPr>
          <w:p w14:paraId="1066A6CA">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是</w:t>
            </w:r>
          </w:p>
        </w:tc>
      </w:tr>
      <w:tr w14:paraId="486315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trPr>
        <w:tc>
          <w:tcPr>
            <w:tcW w:w="1377" w:type="dxa"/>
            <w:shd w:val="clear" w:color="auto" w:fill="auto"/>
            <w:vAlign w:val="center"/>
          </w:tcPr>
          <w:p w14:paraId="5E2A92CF">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A12</w:t>
            </w:r>
          </w:p>
        </w:tc>
        <w:tc>
          <w:tcPr>
            <w:tcW w:w="11967" w:type="dxa"/>
            <w:gridSpan w:val="2"/>
            <w:shd w:val="clear" w:color="auto" w:fill="auto"/>
            <w:vAlign w:val="center"/>
          </w:tcPr>
          <w:p w14:paraId="224EE991">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对非专业用户使用风险的防护</w:t>
            </w:r>
          </w:p>
        </w:tc>
      </w:tr>
      <w:tr w14:paraId="7D24DF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9" w:hRule="atLeast"/>
        </w:trPr>
        <w:tc>
          <w:tcPr>
            <w:tcW w:w="1377" w:type="dxa"/>
            <w:shd w:val="clear" w:color="auto" w:fill="auto"/>
            <w:vAlign w:val="center"/>
          </w:tcPr>
          <w:p w14:paraId="1C38CCF6">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A12.1</w:t>
            </w:r>
          </w:p>
        </w:tc>
        <w:tc>
          <w:tcPr>
            <w:tcW w:w="10266" w:type="dxa"/>
            <w:shd w:val="clear" w:color="auto" w:fill="auto"/>
            <w:vAlign w:val="center"/>
          </w:tcPr>
          <w:p w14:paraId="4A1BCA37">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对于非专业用户使用的医疗器械（如自测或近患者检测），为保证医疗器械的正常使用，其设计和生产应考虑非专业用户的操作技能，以及因非专业用户技术和使用环境的不同对结果的影响。申请人提供的信息和说明应易于理解和使用，并可对结果做出解释。</w:t>
            </w:r>
          </w:p>
        </w:tc>
        <w:tc>
          <w:tcPr>
            <w:tcW w:w="1701" w:type="dxa"/>
            <w:shd w:val="clear" w:color="auto" w:fill="auto"/>
            <w:vAlign w:val="center"/>
          </w:tcPr>
          <w:p w14:paraId="27297972">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48F4A5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5" w:hRule="atLeast"/>
        </w:trPr>
        <w:tc>
          <w:tcPr>
            <w:tcW w:w="1377" w:type="dxa"/>
            <w:vMerge w:val="restart"/>
            <w:shd w:val="clear" w:color="auto" w:fill="auto"/>
            <w:vAlign w:val="center"/>
          </w:tcPr>
          <w:p w14:paraId="0AA32B4F">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A12.2</w:t>
            </w:r>
          </w:p>
        </w:tc>
        <w:tc>
          <w:tcPr>
            <w:tcW w:w="10266" w:type="dxa"/>
            <w:shd w:val="clear" w:color="auto" w:fill="auto"/>
            <w:vAlign w:val="center"/>
          </w:tcPr>
          <w:p w14:paraId="30C11BB0">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供非专业用户使用的医疗器械（如自测或近患者检测）的设计和生产应当：</w:t>
            </w:r>
          </w:p>
        </w:tc>
        <w:tc>
          <w:tcPr>
            <w:tcW w:w="1701" w:type="dxa"/>
            <w:vMerge w:val="restart"/>
            <w:shd w:val="clear" w:color="auto" w:fill="auto"/>
            <w:vAlign w:val="center"/>
          </w:tcPr>
          <w:p w14:paraId="7B500C4B">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193AD2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7" w:hRule="atLeast"/>
        </w:trPr>
        <w:tc>
          <w:tcPr>
            <w:tcW w:w="1377" w:type="dxa"/>
            <w:vMerge w:val="continue"/>
            <w:vAlign w:val="center"/>
          </w:tcPr>
          <w:p w14:paraId="6C8CCD0E">
            <w:pPr>
              <w:widowControl/>
              <w:spacing w:line="40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70A378E3">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 确保使用者可以按照使用说明书的规定安全准确的使用。当无法将与说明书相关的风险降低到适当水平时，可以通过培训来降低此类风险；</w:t>
            </w:r>
          </w:p>
        </w:tc>
        <w:tc>
          <w:tcPr>
            <w:tcW w:w="1701" w:type="dxa"/>
            <w:vMerge w:val="continue"/>
            <w:shd w:val="clear" w:color="auto" w:fill="auto"/>
            <w:vAlign w:val="center"/>
          </w:tcPr>
          <w:p w14:paraId="4A617E65">
            <w:pPr>
              <w:widowControl/>
              <w:spacing w:line="400" w:lineRule="exact"/>
              <w:jc w:val="center"/>
              <w:rPr>
                <w:rFonts w:ascii="Times New Roman" w:hAnsi="Times New Roman" w:eastAsia="仿宋_GB2312" w:cs="Times New Roman"/>
                <w:color w:val="000000"/>
                <w:kern w:val="0"/>
                <w:sz w:val="28"/>
                <w:szCs w:val="28"/>
              </w:rPr>
            </w:pPr>
          </w:p>
        </w:tc>
      </w:tr>
      <w:tr w14:paraId="1540E0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1" w:hRule="atLeast"/>
        </w:trPr>
        <w:tc>
          <w:tcPr>
            <w:tcW w:w="1377" w:type="dxa"/>
            <w:vMerge w:val="continue"/>
            <w:vAlign w:val="center"/>
          </w:tcPr>
          <w:p w14:paraId="009B922F">
            <w:pPr>
              <w:widowControl/>
              <w:spacing w:line="40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6B43BAE9">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b)尽可能减少非专业用户因错误操作和错误解释结果导致的风险。</w:t>
            </w:r>
          </w:p>
        </w:tc>
        <w:tc>
          <w:tcPr>
            <w:tcW w:w="1701" w:type="dxa"/>
            <w:vMerge w:val="continue"/>
            <w:vAlign w:val="center"/>
          </w:tcPr>
          <w:p w14:paraId="2066726F">
            <w:pPr>
              <w:widowControl/>
              <w:spacing w:line="400" w:lineRule="exact"/>
              <w:jc w:val="center"/>
              <w:rPr>
                <w:rFonts w:ascii="Times New Roman" w:hAnsi="Times New Roman" w:eastAsia="仿宋_GB2312" w:cs="Times New Roman"/>
                <w:color w:val="000000"/>
                <w:kern w:val="0"/>
                <w:sz w:val="28"/>
                <w:szCs w:val="28"/>
              </w:rPr>
            </w:pPr>
          </w:p>
        </w:tc>
      </w:tr>
      <w:tr w14:paraId="41A900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trPr>
        <w:tc>
          <w:tcPr>
            <w:tcW w:w="1377" w:type="dxa"/>
            <w:vMerge w:val="restart"/>
            <w:shd w:val="clear" w:color="auto" w:fill="auto"/>
            <w:vAlign w:val="center"/>
          </w:tcPr>
          <w:p w14:paraId="74DEF588">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A12.3</w:t>
            </w:r>
          </w:p>
        </w:tc>
        <w:tc>
          <w:tcPr>
            <w:tcW w:w="10266" w:type="dxa"/>
            <w:shd w:val="clear" w:color="auto" w:fill="auto"/>
            <w:vAlign w:val="center"/>
          </w:tcPr>
          <w:p w14:paraId="287E5AD1">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供非专业用户使用的医疗器械可通过以下措施方便用户：</w:t>
            </w:r>
          </w:p>
        </w:tc>
        <w:tc>
          <w:tcPr>
            <w:tcW w:w="1701" w:type="dxa"/>
            <w:vMerge w:val="continue"/>
            <w:vAlign w:val="center"/>
          </w:tcPr>
          <w:p w14:paraId="126ED9DF">
            <w:pPr>
              <w:widowControl/>
              <w:spacing w:line="400" w:lineRule="exact"/>
              <w:jc w:val="center"/>
              <w:rPr>
                <w:rFonts w:ascii="Times New Roman" w:hAnsi="Times New Roman" w:eastAsia="仿宋_GB2312" w:cs="Times New Roman"/>
                <w:color w:val="000000"/>
                <w:kern w:val="0"/>
                <w:sz w:val="28"/>
                <w:szCs w:val="28"/>
              </w:rPr>
            </w:pPr>
          </w:p>
        </w:tc>
      </w:tr>
      <w:tr w14:paraId="234D9C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3" w:hRule="atLeast"/>
        </w:trPr>
        <w:tc>
          <w:tcPr>
            <w:tcW w:w="1377" w:type="dxa"/>
            <w:vMerge w:val="continue"/>
            <w:vAlign w:val="center"/>
          </w:tcPr>
          <w:p w14:paraId="0B88DD74">
            <w:pPr>
              <w:widowControl/>
              <w:spacing w:line="40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1CA465E3">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 在使用时，可以验证器械的正常运行；</w:t>
            </w:r>
          </w:p>
        </w:tc>
        <w:tc>
          <w:tcPr>
            <w:tcW w:w="1701" w:type="dxa"/>
            <w:vMerge w:val="continue"/>
            <w:vAlign w:val="center"/>
          </w:tcPr>
          <w:p w14:paraId="69E57886">
            <w:pPr>
              <w:widowControl/>
              <w:spacing w:line="400" w:lineRule="exact"/>
              <w:jc w:val="center"/>
              <w:rPr>
                <w:rFonts w:ascii="Times New Roman" w:hAnsi="Times New Roman" w:eastAsia="仿宋_GB2312" w:cs="Times New Roman"/>
                <w:color w:val="000000"/>
                <w:kern w:val="0"/>
                <w:sz w:val="28"/>
                <w:szCs w:val="28"/>
              </w:rPr>
            </w:pPr>
          </w:p>
        </w:tc>
      </w:tr>
      <w:tr w14:paraId="37B374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trPr>
        <w:tc>
          <w:tcPr>
            <w:tcW w:w="1377" w:type="dxa"/>
            <w:vMerge w:val="continue"/>
            <w:vAlign w:val="center"/>
          </w:tcPr>
          <w:p w14:paraId="7372E85A">
            <w:pPr>
              <w:widowControl/>
              <w:spacing w:line="40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1A48BA7C">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b)当器械不能正常运行或提供无效结果时，会发出警告。</w:t>
            </w:r>
          </w:p>
        </w:tc>
        <w:tc>
          <w:tcPr>
            <w:tcW w:w="1701" w:type="dxa"/>
            <w:vMerge w:val="continue"/>
            <w:vAlign w:val="center"/>
          </w:tcPr>
          <w:p w14:paraId="7326EF33">
            <w:pPr>
              <w:widowControl/>
              <w:spacing w:line="400" w:lineRule="exact"/>
              <w:jc w:val="center"/>
              <w:rPr>
                <w:rFonts w:ascii="Times New Roman" w:hAnsi="Times New Roman" w:eastAsia="仿宋_GB2312" w:cs="Times New Roman"/>
                <w:color w:val="000000"/>
                <w:kern w:val="0"/>
                <w:sz w:val="28"/>
                <w:szCs w:val="28"/>
              </w:rPr>
            </w:pPr>
          </w:p>
        </w:tc>
      </w:tr>
      <w:tr w14:paraId="6AADA5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1377" w:type="dxa"/>
            <w:vAlign w:val="center"/>
          </w:tcPr>
          <w:p w14:paraId="7A8F380E">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A13</w:t>
            </w:r>
          </w:p>
        </w:tc>
        <w:tc>
          <w:tcPr>
            <w:tcW w:w="11967" w:type="dxa"/>
            <w:gridSpan w:val="2"/>
            <w:shd w:val="clear" w:color="auto" w:fill="auto"/>
            <w:vAlign w:val="center"/>
          </w:tcPr>
          <w:p w14:paraId="636667EC">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mc:AlternateContent>
                <mc:Choice Requires="wps">
                  <w:drawing>
                    <wp:anchor distT="0" distB="0" distL="114300" distR="114300" simplePos="0" relativeHeight="251675648" behindDoc="0" locked="0" layoutInCell="1" allowOverlap="1">
                      <wp:simplePos x="0" y="0"/>
                      <wp:positionH relativeFrom="column">
                        <wp:posOffset>6657340</wp:posOffset>
                      </wp:positionH>
                      <wp:positionV relativeFrom="paragraph">
                        <wp:posOffset>760095</wp:posOffset>
                      </wp:positionV>
                      <wp:extent cx="1133475" cy="371475"/>
                      <wp:effectExtent l="0" t="0" r="28575" b="28575"/>
                      <wp:wrapNone/>
                      <wp:docPr id="53" name="矩形 53"/>
                      <wp:cNvGraphicFramePr/>
                      <a:graphic xmlns:a="http://schemas.openxmlformats.org/drawingml/2006/main">
                        <a:graphicData uri="http://schemas.microsoft.com/office/word/2010/wordprocessingShape">
                          <wps:wsp>
                            <wps:cNvSpPr/>
                            <wps:spPr>
                              <a:xfrm>
                                <a:off x="0" y="0"/>
                                <a:ext cx="1133475"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24.2pt;margin-top:59.85pt;height:29.25pt;width:89.25pt;z-index:251675648;v-text-anchor:middle;mso-width-relative:page;mso-height-relative:page;" fillcolor="#FFFFFF [3212]" filled="t" stroked="t" coordsize="21600,21600" o:gfxdata="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M9SC7bAAAADQEAAA8AAAAAAAAAAQAgAAAAIgAAAGRycy9kb3ducmV2LnhtbFBLAQIUABQA&#10;AAAIAIdO4kDQxoB3XwIAAN8EAAAOAAAAAAAAAAEAIAAAACoBAABkcnMvZTJvRG9jLnhtbFBLBQYA&#10;AAAABgAGAFkBAAD7BQAAAAA=&#10;">
                      <v:fill on="t" focussize="0,0"/>
                      <v:stroke weight="2pt" color="#FFFFFF [3212]" joinstyle="round"/>
                      <v:imagedata o:title=""/>
                      <o:lock v:ext="edit" aspectratio="f"/>
                    </v:rect>
                  </w:pict>
                </mc:Fallback>
              </mc:AlternateContent>
            </w:r>
            <w:r>
              <w:rPr>
                <w:rFonts w:ascii="Times New Roman" w:hAnsi="Times New Roman" w:eastAsia="仿宋_GB2312" w:cs="Times New Roman"/>
                <w:color w:val="000000"/>
                <w:kern w:val="0"/>
                <w:sz w:val="28"/>
                <w:szCs w:val="28"/>
              </w:rPr>
              <w:t>含有生物源材料的医疗器械</w:t>
            </w:r>
          </w:p>
        </w:tc>
      </w:tr>
      <w:tr w14:paraId="1C0431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vMerge w:val="restart"/>
            <w:tcBorders>
              <w:top w:val="single" w:color="auto" w:sz="4" w:space="0"/>
            </w:tcBorders>
            <w:vAlign w:val="center"/>
          </w:tcPr>
          <w:p w14:paraId="22C12D63">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A13.1</w:t>
            </w:r>
          </w:p>
        </w:tc>
        <w:tc>
          <w:tcPr>
            <w:tcW w:w="10266" w:type="dxa"/>
            <w:tcBorders>
              <w:top w:val="single" w:color="auto" w:sz="4" w:space="0"/>
            </w:tcBorders>
            <w:shd w:val="clear" w:color="auto" w:fill="auto"/>
            <w:vAlign w:val="center"/>
          </w:tcPr>
          <w:p w14:paraId="67F6EC7B">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对于含有动植物组织、细胞或其它物质，细菌来源物质或衍生物的医疗器械，若无活性或以非活性状态交付，应当：</w:t>
            </w:r>
          </w:p>
        </w:tc>
        <w:tc>
          <w:tcPr>
            <w:tcW w:w="1701" w:type="dxa"/>
            <w:vMerge w:val="restart"/>
            <w:vAlign w:val="center"/>
          </w:tcPr>
          <w:p w14:paraId="06DB0966">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087C89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vMerge w:val="continue"/>
            <w:vAlign w:val="center"/>
          </w:tcPr>
          <w:p w14:paraId="67FCEAFA">
            <w:pPr>
              <w:widowControl/>
              <w:spacing w:line="40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6CCF5F65">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 组织、细胞及其衍生物应来源于已受控且符合预期用途的动物种属。动物的地理来源信息应根据相关法规要求予以保留。</w:t>
            </w:r>
          </w:p>
        </w:tc>
        <w:tc>
          <w:tcPr>
            <w:tcW w:w="1701" w:type="dxa"/>
            <w:vMerge w:val="continue"/>
            <w:shd w:val="clear" w:color="auto" w:fill="auto"/>
            <w:vAlign w:val="center"/>
          </w:tcPr>
          <w:p w14:paraId="6A8B9914">
            <w:pPr>
              <w:widowControl/>
              <w:spacing w:line="400" w:lineRule="exact"/>
              <w:jc w:val="center"/>
              <w:rPr>
                <w:rFonts w:ascii="Times New Roman" w:hAnsi="Times New Roman" w:eastAsia="仿宋_GB2312" w:cs="Times New Roman"/>
                <w:color w:val="000000"/>
                <w:kern w:val="0"/>
                <w:sz w:val="28"/>
                <w:szCs w:val="28"/>
              </w:rPr>
            </w:pPr>
          </w:p>
        </w:tc>
      </w:tr>
      <w:tr w14:paraId="18D005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7" w:hRule="atLeast"/>
        </w:trPr>
        <w:tc>
          <w:tcPr>
            <w:tcW w:w="1377" w:type="dxa"/>
            <w:vMerge w:val="continue"/>
            <w:vAlign w:val="center"/>
          </w:tcPr>
          <w:p w14:paraId="2CC6235F">
            <w:pPr>
              <w:widowControl/>
              <w:spacing w:line="40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4847CE66">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 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1701" w:type="dxa"/>
            <w:vMerge w:val="continue"/>
            <w:vAlign w:val="center"/>
          </w:tcPr>
          <w:p w14:paraId="05C6058F">
            <w:pPr>
              <w:widowControl/>
              <w:spacing w:line="400" w:lineRule="exact"/>
              <w:jc w:val="center"/>
              <w:rPr>
                <w:rFonts w:ascii="Times New Roman" w:hAnsi="Times New Roman" w:eastAsia="仿宋_GB2312" w:cs="Times New Roman"/>
                <w:color w:val="000000"/>
                <w:kern w:val="0"/>
                <w:sz w:val="28"/>
                <w:szCs w:val="28"/>
              </w:rPr>
            </w:pPr>
          </w:p>
        </w:tc>
      </w:tr>
      <w:tr w14:paraId="349698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1377" w:type="dxa"/>
            <w:vMerge w:val="restart"/>
            <w:shd w:val="clear" w:color="auto" w:fill="auto"/>
            <w:vAlign w:val="center"/>
          </w:tcPr>
          <w:p w14:paraId="7F5CF131">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A13.2</w:t>
            </w:r>
          </w:p>
        </w:tc>
        <w:tc>
          <w:tcPr>
            <w:tcW w:w="10266" w:type="dxa"/>
            <w:shd w:val="clear" w:color="auto" w:fill="auto"/>
            <w:vAlign w:val="center"/>
          </w:tcPr>
          <w:p w14:paraId="2B9DF258">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2.13.2对于监管部门而言，当医疗器械由人体来源的组织、细胞、物质或其衍生物生产时，应采取以下措施：</w:t>
            </w:r>
          </w:p>
        </w:tc>
        <w:tc>
          <w:tcPr>
            <w:tcW w:w="1701" w:type="dxa"/>
            <w:vMerge w:val="continue"/>
            <w:vAlign w:val="center"/>
          </w:tcPr>
          <w:p w14:paraId="6566D217">
            <w:pPr>
              <w:widowControl/>
              <w:spacing w:line="400" w:lineRule="exact"/>
              <w:jc w:val="center"/>
              <w:rPr>
                <w:rFonts w:ascii="Times New Roman" w:hAnsi="Times New Roman" w:eastAsia="仿宋_GB2312" w:cs="Times New Roman"/>
                <w:color w:val="000000"/>
                <w:kern w:val="0"/>
                <w:sz w:val="28"/>
                <w:szCs w:val="28"/>
              </w:rPr>
            </w:pPr>
          </w:p>
        </w:tc>
      </w:tr>
      <w:tr w14:paraId="5AA813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vMerge w:val="continue"/>
            <w:vAlign w:val="center"/>
          </w:tcPr>
          <w:p w14:paraId="1054AA9B">
            <w:pPr>
              <w:widowControl/>
              <w:spacing w:line="40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1B21BB67">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 组织、细胞的捐赠、获取和检测应依据相关法规的要求进行；</w:t>
            </w:r>
          </w:p>
        </w:tc>
        <w:tc>
          <w:tcPr>
            <w:tcW w:w="1701" w:type="dxa"/>
            <w:vMerge w:val="continue"/>
            <w:vAlign w:val="center"/>
          </w:tcPr>
          <w:p w14:paraId="781F0FA5">
            <w:pPr>
              <w:widowControl/>
              <w:spacing w:line="400" w:lineRule="exact"/>
              <w:jc w:val="center"/>
              <w:rPr>
                <w:rFonts w:ascii="Times New Roman" w:hAnsi="Times New Roman" w:eastAsia="仿宋_GB2312" w:cs="Times New Roman"/>
                <w:color w:val="000000"/>
                <w:kern w:val="0"/>
                <w:sz w:val="28"/>
                <w:szCs w:val="28"/>
              </w:rPr>
            </w:pPr>
          </w:p>
        </w:tc>
      </w:tr>
      <w:tr w14:paraId="35F39A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trPr>
        <w:tc>
          <w:tcPr>
            <w:tcW w:w="1377" w:type="dxa"/>
            <w:vMerge w:val="continue"/>
            <w:vAlign w:val="center"/>
          </w:tcPr>
          <w:p w14:paraId="7D0A41F4">
            <w:pPr>
              <w:widowControl/>
              <w:spacing w:line="400" w:lineRule="exact"/>
              <w:jc w:val="center"/>
              <w:rPr>
                <w:rFonts w:ascii="Times New Roman" w:hAnsi="Times New Roman" w:eastAsia="仿宋_GB2312" w:cs="Times New Roman"/>
                <w:color w:val="000000"/>
                <w:kern w:val="0"/>
                <w:sz w:val="28"/>
                <w:szCs w:val="28"/>
              </w:rPr>
            </w:pPr>
          </w:p>
        </w:tc>
        <w:tc>
          <w:tcPr>
            <w:tcW w:w="10266" w:type="dxa"/>
            <w:shd w:val="clear" w:color="auto" w:fill="auto"/>
            <w:vAlign w:val="center"/>
          </w:tcPr>
          <w:p w14:paraId="0D9116FE">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 为确保患者、使用者或他人的安全，应对组织、细胞或其衍生物进行加工、保存或其他处理。对于病毒和其他传染源，应通过源头控制，或在生产过程中通过经验证的先进技术消除或灭活。</w:t>
            </w:r>
          </w:p>
        </w:tc>
        <w:tc>
          <w:tcPr>
            <w:tcW w:w="1701" w:type="dxa"/>
            <w:vMerge w:val="continue"/>
            <w:vAlign w:val="center"/>
          </w:tcPr>
          <w:p w14:paraId="122BD0BD">
            <w:pPr>
              <w:widowControl/>
              <w:spacing w:line="400" w:lineRule="exact"/>
              <w:jc w:val="center"/>
              <w:rPr>
                <w:rFonts w:ascii="Times New Roman" w:hAnsi="Times New Roman" w:eastAsia="仿宋_GB2312" w:cs="Times New Roman"/>
                <w:color w:val="000000"/>
                <w:kern w:val="0"/>
                <w:sz w:val="28"/>
                <w:szCs w:val="28"/>
              </w:rPr>
            </w:pPr>
          </w:p>
        </w:tc>
      </w:tr>
      <w:tr w14:paraId="528B99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7" w:hRule="atLeast"/>
        </w:trPr>
        <w:tc>
          <w:tcPr>
            <w:tcW w:w="1377" w:type="dxa"/>
            <w:shd w:val="clear" w:color="auto" w:fill="auto"/>
            <w:vAlign w:val="center"/>
          </w:tcPr>
          <w:p w14:paraId="5D7D26C1">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A13.3</w:t>
            </w:r>
          </w:p>
        </w:tc>
        <w:tc>
          <w:tcPr>
            <w:tcW w:w="10266" w:type="dxa"/>
            <w:shd w:val="clear" w:color="auto" w:fill="auto"/>
            <w:vAlign w:val="center"/>
          </w:tcPr>
          <w:p w14:paraId="2544ACE8">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当医疗器械使用A13.1、A13.2以外的生物物质（例如植物或细菌来源的材料）生产时时，其加工、保存、检测和处理应确保患者、用户以及其他人员（如废弃物处置人员等）的安全。对于病毒和其他传染源，为确保安全，应通过源头控制，或在生产过程中通过经验证的先进技术消除或灭活。</w:t>
            </w:r>
          </w:p>
        </w:tc>
        <w:tc>
          <w:tcPr>
            <w:tcW w:w="1701" w:type="dxa"/>
            <w:vMerge w:val="continue"/>
            <w:vAlign w:val="center"/>
          </w:tcPr>
          <w:p w14:paraId="56A9FE3F">
            <w:pPr>
              <w:widowControl/>
              <w:spacing w:line="400" w:lineRule="exact"/>
              <w:jc w:val="center"/>
              <w:rPr>
                <w:rFonts w:ascii="Times New Roman" w:hAnsi="Times New Roman" w:eastAsia="仿宋_GB2312" w:cs="Times New Roman"/>
                <w:color w:val="000000"/>
                <w:kern w:val="0"/>
                <w:sz w:val="28"/>
                <w:szCs w:val="28"/>
              </w:rPr>
            </w:pPr>
          </w:p>
        </w:tc>
      </w:tr>
      <w:tr w14:paraId="6B5D25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507B12E3">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w:t>
            </w:r>
          </w:p>
        </w:tc>
        <w:tc>
          <w:tcPr>
            <w:tcW w:w="11967" w:type="dxa"/>
            <w:gridSpan w:val="2"/>
            <w:shd w:val="clear" w:color="auto" w:fill="auto"/>
            <w:vAlign w:val="center"/>
          </w:tcPr>
          <w:p w14:paraId="1C906AC7">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适用于医疗器械的基本原则</w:t>
            </w:r>
          </w:p>
        </w:tc>
      </w:tr>
      <w:tr w14:paraId="406820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439C8BF7">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mc:AlternateContent>
                <mc:Choice Requires="wps">
                  <w:drawing>
                    <wp:anchor distT="0" distB="0" distL="114300" distR="114300" simplePos="0" relativeHeight="251674624" behindDoc="0" locked="0" layoutInCell="1" allowOverlap="1">
                      <wp:simplePos x="0" y="0"/>
                      <wp:positionH relativeFrom="column">
                        <wp:posOffset>-278765</wp:posOffset>
                      </wp:positionH>
                      <wp:positionV relativeFrom="paragraph">
                        <wp:posOffset>436880</wp:posOffset>
                      </wp:positionV>
                      <wp:extent cx="1019175" cy="314325"/>
                      <wp:effectExtent l="0" t="0" r="28575" b="28575"/>
                      <wp:wrapNone/>
                      <wp:docPr id="52" name="矩形 52"/>
                      <wp:cNvGraphicFramePr/>
                      <a:graphic xmlns:a="http://schemas.openxmlformats.org/drawingml/2006/main">
                        <a:graphicData uri="http://schemas.microsoft.com/office/word/2010/wordprocessingShape">
                          <wps:wsp>
                            <wps:cNvSpPr/>
                            <wps:spPr>
                              <a:xfrm>
                                <a:off x="0" y="0"/>
                                <a:ext cx="1019175" cy="314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95pt;margin-top:34.4pt;height:24.75pt;width:80.25pt;z-index:251674624;v-text-anchor:middle;mso-width-relative:page;mso-height-relative:page;" fillcolor="#FFFFFF [3212]" filled="t" stroked="t" coordsize="21600,21600" o:gfxdata="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k7c0tkAAAAKAQAADwAAAAAAAAABACAAAAAiAAAAZHJzL2Rvd25yZXYueG1sUEsBAhQAFAAA&#10;AAgAh07iQKHz4jJgAgAA3wQAAA4AAAAAAAAAAQAgAAAAKAEAAGRycy9lMm9Eb2MueG1sUEsFBgAA&#10;AAAGAAYAWQEAAPoFAAAAAA==&#10;">
                      <v:fill on="t" focussize="0,0"/>
                      <v:stroke weight="2pt" color="#FFFFFF [3212]" joinstyle="round"/>
                      <v:imagedata o:title=""/>
                      <o:lock v:ext="edit" aspectratio="f"/>
                    </v:rect>
                  </w:pict>
                </mc:Fallback>
              </mc:AlternateContent>
            </w:r>
            <w:r>
              <w:rPr>
                <w:rFonts w:ascii="Times New Roman" w:hAnsi="Times New Roman" w:eastAsia="仿宋_GB2312" w:cs="Times New Roman"/>
                <w:color w:val="000000"/>
                <w:kern w:val="0"/>
                <w:sz w:val="28"/>
                <w:szCs w:val="28"/>
              </w:rPr>
              <w:t>B1</w:t>
            </w:r>
          </w:p>
        </w:tc>
        <w:tc>
          <w:tcPr>
            <w:tcW w:w="11967" w:type="dxa"/>
            <w:gridSpan w:val="2"/>
            <w:shd w:val="clear" w:color="auto" w:fill="auto"/>
            <w:vAlign w:val="center"/>
          </w:tcPr>
          <w:p w14:paraId="67B25B5E">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6600825</wp:posOffset>
                      </wp:positionH>
                      <wp:positionV relativeFrom="paragraph">
                        <wp:posOffset>495300</wp:posOffset>
                      </wp:positionV>
                      <wp:extent cx="942975" cy="247650"/>
                      <wp:effectExtent l="0" t="0" r="28575" b="19050"/>
                      <wp:wrapNone/>
                      <wp:docPr id="31" name="圆角矩形 31"/>
                      <wp:cNvGraphicFramePr/>
                      <a:graphic xmlns:a="http://schemas.openxmlformats.org/drawingml/2006/main">
                        <a:graphicData uri="http://schemas.microsoft.com/office/word/2010/wordprocessingShape">
                          <wps:wsp>
                            <wps:cNvSpPr/>
                            <wps:spPr>
                              <a:xfrm>
                                <a:off x="0" y="0"/>
                                <a:ext cx="942975" cy="2476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19.75pt;margin-top:39pt;height:19.5pt;width:74.25pt;z-index:251663360;v-text-anchor:middle;mso-width-relative:page;mso-height-relative:page;" fillcolor="#FFFFFF [3212]" filled="t" stroked="t" coordsize="21600,21600" arcsize="0.166666666666667" o:gfxdata="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F2cULZAAAADAEAAA8AAAAAAAAAAQAgAAAAIgAAAGRycy9kb3du&#10;cmV2LnhtbFBLAQIUABQAAAAIAIdO4kB4n7wlcAIAAOkEAAAOAAAAAAAAAAEAIAAAACgBAABkcnMv&#10;ZTJvRG9jLnhtbFBLBQYAAAAABgAGAFkBAAAKBgAAAAA=&#10;">
                      <v:fill on="t" focussize="0,0"/>
                      <v:stroke weight="2pt" color="#FFFFFF [3212]" joinstyle="round"/>
                      <v:imagedata o:title=""/>
                      <o:lock v:ext="edit" aspectratio="f"/>
                    </v:roundrect>
                  </w:pict>
                </mc:Fallback>
              </mc:AlternateContent>
            </w:r>
            <w:r>
              <w:rPr>
                <w:rFonts w:ascii="Times New Roman" w:hAnsi="Times New Roman" w:eastAsia="仿宋_GB2312" w:cs="Times New Roman"/>
                <w:color w:val="000000"/>
                <w:kern w:val="0"/>
                <w:sz w:val="28"/>
                <w:szCs w:val="28"/>
              </w:rPr>
              <w:t>化学、物理和生物学特性</w:t>
            </w:r>
          </w:p>
        </w:tc>
      </w:tr>
      <w:tr w14:paraId="504EB1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shd w:val="clear" w:color="auto" w:fill="auto"/>
            <w:vAlign w:val="center"/>
          </w:tcPr>
          <w:p w14:paraId="75BE6741">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B1.1</w:t>
            </w:r>
          </w:p>
        </w:tc>
        <w:tc>
          <w:tcPr>
            <w:tcW w:w="10266" w:type="dxa"/>
            <w:shd w:val="clear" w:color="auto" w:fill="auto"/>
            <w:vAlign w:val="center"/>
          </w:tcPr>
          <w:p w14:paraId="248C1736">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1701" w:type="dxa"/>
            <w:shd w:val="clear" w:color="auto" w:fill="auto"/>
            <w:vAlign w:val="center"/>
          </w:tcPr>
          <w:p w14:paraId="2D6329FE">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633570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7" w:hRule="atLeast"/>
        </w:trPr>
        <w:tc>
          <w:tcPr>
            <w:tcW w:w="1377" w:type="dxa"/>
            <w:shd w:val="clear" w:color="auto" w:fill="auto"/>
            <w:vAlign w:val="center"/>
          </w:tcPr>
          <w:p w14:paraId="7602B007">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B1.2</w:t>
            </w:r>
          </w:p>
        </w:tc>
        <w:tc>
          <w:tcPr>
            <w:tcW w:w="10266" w:type="dxa"/>
            <w:shd w:val="clear" w:color="auto" w:fill="auto"/>
            <w:vAlign w:val="center"/>
          </w:tcPr>
          <w:p w14:paraId="6028049C">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的设计和生产，应当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701" w:type="dxa"/>
            <w:shd w:val="clear" w:color="auto" w:fill="auto"/>
            <w:vAlign w:val="center"/>
          </w:tcPr>
          <w:p w14:paraId="7A45CF7A">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kern w:val="0"/>
                <w:sz w:val="28"/>
                <w:szCs w:val="28"/>
              </w:rPr>
              <w:t>否</w:t>
            </w:r>
          </w:p>
        </w:tc>
      </w:tr>
      <w:tr w14:paraId="126C57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3" w:hRule="atLeast"/>
        </w:trPr>
        <w:tc>
          <w:tcPr>
            <w:tcW w:w="1377" w:type="dxa"/>
            <w:shd w:val="clear" w:color="auto" w:fill="auto"/>
            <w:vAlign w:val="center"/>
          </w:tcPr>
          <w:p w14:paraId="142448C6">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B1.3</w:t>
            </w:r>
          </w:p>
        </w:tc>
        <w:tc>
          <w:tcPr>
            <w:tcW w:w="10266" w:type="dxa"/>
            <w:shd w:val="clear" w:color="auto" w:fill="auto"/>
            <w:vAlign w:val="center"/>
          </w:tcPr>
          <w:p w14:paraId="4F08951E">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医疗器械的设计和生产，除接触完整皮肤的产品外，应适当降低释放进入患者或使用者体内的颗粒，产生与颗粒尺寸和性质相关的风险。对纳米材料应给予重点关注。</w:t>
            </w:r>
          </w:p>
        </w:tc>
        <w:tc>
          <w:tcPr>
            <w:tcW w:w="1701" w:type="dxa"/>
            <w:shd w:val="clear" w:color="auto" w:fill="auto"/>
            <w:vAlign w:val="center"/>
          </w:tcPr>
          <w:p w14:paraId="174D7ACA">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腔内探头、术中探头、进入患者体内的穿刺架适用。需配用无菌护套的探头可不考虑。</w:t>
            </w:r>
          </w:p>
        </w:tc>
      </w:tr>
      <w:tr w14:paraId="068A1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shd w:val="clear" w:color="auto" w:fill="auto"/>
            <w:vAlign w:val="center"/>
          </w:tcPr>
          <w:p w14:paraId="616675BC">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B2.1</w:t>
            </w:r>
          </w:p>
        </w:tc>
        <w:tc>
          <w:tcPr>
            <w:tcW w:w="10266" w:type="dxa"/>
            <w:shd w:val="clear" w:color="auto" w:fill="auto"/>
            <w:vAlign w:val="center"/>
          </w:tcPr>
          <w:p w14:paraId="32BFA722">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用于医学影像的医疗器械具有电离辐射时，其设计和生产，在保障图像和/或输出质量的同时，应尽可能降低患者、使用者和其他人员的辐射吸收剂量。</w:t>
            </w:r>
          </w:p>
        </w:tc>
        <w:tc>
          <w:tcPr>
            <w:tcW w:w="1701" w:type="dxa"/>
            <w:shd w:val="clear" w:color="auto" w:fill="auto"/>
            <w:vAlign w:val="center"/>
          </w:tcPr>
          <w:p w14:paraId="7D7B8429">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2324EC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7BA0FDDD">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B2.2</w:t>
            </w:r>
          </w:p>
        </w:tc>
        <w:tc>
          <w:tcPr>
            <w:tcW w:w="10266" w:type="dxa"/>
            <w:shd w:val="clear" w:color="auto" w:fill="auto"/>
            <w:vAlign w:val="center"/>
          </w:tcPr>
          <w:p w14:paraId="6A37F1D5">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具有电离辐射的医疗器械应能够精确预估（或监测）、显示、报告和记录治疗过程中的辐射剂量。</w:t>
            </w:r>
          </w:p>
        </w:tc>
        <w:tc>
          <w:tcPr>
            <w:tcW w:w="1701" w:type="dxa"/>
            <w:shd w:val="clear" w:color="auto" w:fill="auto"/>
            <w:vAlign w:val="center"/>
          </w:tcPr>
          <w:p w14:paraId="7F455D9A">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5B0DAA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5A8C525F">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B3</w:t>
            </w:r>
          </w:p>
        </w:tc>
        <w:tc>
          <w:tcPr>
            <w:tcW w:w="11967" w:type="dxa"/>
            <w:gridSpan w:val="2"/>
            <w:shd w:val="clear" w:color="auto" w:fill="auto"/>
            <w:vAlign w:val="center"/>
          </w:tcPr>
          <w:p w14:paraId="5440F541">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mc:AlternateContent>
                <mc:Choice Requires="wps">
                  <w:drawing>
                    <wp:anchor distT="0" distB="0" distL="114300" distR="114300" simplePos="0" relativeHeight="251673600" behindDoc="0" locked="0" layoutInCell="1" allowOverlap="1">
                      <wp:simplePos x="0" y="0"/>
                      <wp:positionH relativeFrom="column">
                        <wp:posOffset>6733540</wp:posOffset>
                      </wp:positionH>
                      <wp:positionV relativeFrom="paragraph">
                        <wp:posOffset>505460</wp:posOffset>
                      </wp:positionV>
                      <wp:extent cx="962025" cy="361950"/>
                      <wp:effectExtent l="0" t="0" r="28575" b="19050"/>
                      <wp:wrapNone/>
                      <wp:docPr id="51" name="矩形 51"/>
                      <wp:cNvGraphicFramePr/>
                      <a:graphic xmlns:a="http://schemas.openxmlformats.org/drawingml/2006/main">
                        <a:graphicData uri="http://schemas.microsoft.com/office/word/2010/wordprocessingShape">
                          <wps:wsp>
                            <wps:cNvSpPr/>
                            <wps:spPr>
                              <a:xfrm>
                                <a:off x="0" y="0"/>
                                <a:ext cx="962025" cy="3619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30.2pt;margin-top:39.8pt;height:28.5pt;width:75.75pt;z-index:251673600;v-text-anchor:middle;mso-width-relative:page;mso-height-relative:page;" fillcolor="#FFFFFF [3212]" filled="t" stroked="t" coordsize="21600,21600" o:gfxdata="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Lh5z3bAAAADAEAAA8AAAAAAAAAAQAgAAAAIgAAAGRycy9kb3ducmV2LnhtbFBLAQIUABQA&#10;AAAIAIdO4kAIk6Y1XwIAAN4EAAAOAAAAAAAAAAEAIAAAACoBAABkcnMvZTJvRG9jLnhtbFBLBQYA&#10;AAAABgAGAFkBAAD7BQAAAAA=&#10;">
                      <v:fill on="t" focussize="0,0"/>
                      <v:stroke weight="2pt" color="#FFFFFF [3212]" joinstyle="round"/>
                      <v:imagedata o:title=""/>
                      <o:lock v:ext="edit" aspectratio="f"/>
                    </v:rect>
                  </w:pict>
                </mc:Fallback>
              </mc:AlternateContent>
            </w:r>
            <w:r>
              <w:rPr>
                <w:rFonts w:ascii="Times New Roman" w:hAnsi="Times New Roman" w:eastAsia="仿宋_GB2312" w:cs="Times New Roman"/>
                <w:color w:val="000000"/>
                <w:kern w:val="0"/>
                <w:sz w:val="28"/>
                <w:szCs w:val="28"/>
              </w:rPr>
              <w:t>植入医疗器械的特殊要求</w:t>
            </w:r>
          </w:p>
        </w:tc>
      </w:tr>
      <w:tr w14:paraId="06D17C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364A8D09">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B3.1</w:t>
            </w:r>
          </w:p>
        </w:tc>
        <w:tc>
          <w:tcPr>
            <w:tcW w:w="10266" w:type="dxa"/>
            <w:shd w:val="clear" w:color="auto" w:fill="auto"/>
            <w:vAlign w:val="center"/>
          </w:tcPr>
          <w:p w14:paraId="651155EE">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植入医疗器械的设计和生产，应能消除或降低相关治疗风险，例如除颤器、高频手术设备的使用</w:t>
            </w:r>
          </w:p>
        </w:tc>
        <w:tc>
          <w:tcPr>
            <w:tcW w:w="1701" w:type="dxa"/>
            <w:vMerge w:val="restart"/>
            <w:shd w:val="clear" w:color="auto" w:fill="auto"/>
            <w:vAlign w:val="center"/>
          </w:tcPr>
          <w:p w14:paraId="40CCAB39">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449AB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shd w:val="clear" w:color="auto" w:fill="auto"/>
            <w:vAlign w:val="center"/>
          </w:tcPr>
          <w:p w14:paraId="2D93D056">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B3.2</w:t>
            </w:r>
          </w:p>
        </w:tc>
        <w:tc>
          <w:tcPr>
            <w:tcW w:w="10266" w:type="dxa"/>
            <w:shd w:val="clear" w:color="auto" w:fill="auto"/>
            <w:vAlign w:val="center"/>
          </w:tcPr>
          <w:p w14:paraId="1AAC3E9F">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可编程有源植入式医疗器械的设计和生产，应保证产品在无需手术时即可准确识别。</w:t>
            </w:r>
          </w:p>
        </w:tc>
        <w:tc>
          <w:tcPr>
            <w:tcW w:w="1701" w:type="dxa"/>
            <w:vMerge w:val="continue"/>
            <w:shd w:val="clear" w:color="auto" w:fill="auto"/>
            <w:vAlign w:val="center"/>
          </w:tcPr>
          <w:p w14:paraId="5CEB2942">
            <w:pPr>
              <w:widowControl/>
              <w:spacing w:line="400" w:lineRule="exact"/>
              <w:jc w:val="center"/>
              <w:rPr>
                <w:rFonts w:ascii="Times New Roman" w:hAnsi="Times New Roman" w:eastAsia="仿宋_GB2312" w:cs="Times New Roman"/>
                <w:color w:val="000000"/>
                <w:kern w:val="0"/>
                <w:sz w:val="28"/>
                <w:szCs w:val="28"/>
              </w:rPr>
            </w:pPr>
          </w:p>
        </w:tc>
      </w:tr>
      <w:tr w14:paraId="3BA84C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tcBorders>
              <w:left w:val="single" w:color="auto" w:sz="8" w:space="0"/>
              <w:bottom w:val="single" w:color="auto" w:sz="8" w:space="0"/>
              <w:right w:val="single" w:color="auto" w:sz="8" w:space="0"/>
            </w:tcBorders>
            <w:shd w:val="clear" w:color="auto" w:fill="auto"/>
            <w:vAlign w:val="center"/>
          </w:tcPr>
          <w:p w14:paraId="7F89ADDF">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B4</w:t>
            </w:r>
          </w:p>
        </w:tc>
        <w:tc>
          <w:tcPr>
            <w:tcW w:w="11967" w:type="dxa"/>
            <w:gridSpan w:val="2"/>
            <w:tcBorders>
              <w:top w:val="single" w:color="auto" w:sz="4" w:space="0"/>
              <w:left w:val="single" w:color="auto" w:sz="8" w:space="0"/>
              <w:bottom w:val="single" w:color="auto" w:sz="8" w:space="0"/>
              <w:right w:val="single" w:color="auto" w:sz="8" w:space="0"/>
            </w:tcBorders>
            <w:shd w:val="clear" w:color="auto" w:fill="auto"/>
          </w:tcPr>
          <w:p w14:paraId="5FE051A0">
            <w:pPr>
              <w:widowControl/>
              <w:spacing w:line="400" w:lineRule="exact"/>
              <w:jc w:val="left"/>
              <w:rPr>
                <w:rFonts w:ascii="Times New Roman" w:hAnsi="Times New Roman" w:cs="Times New Roman"/>
                <w:sz w:val="28"/>
                <w:szCs w:val="28"/>
              </w:rPr>
            </w:pPr>
            <w:r>
              <w:rPr>
                <w:rFonts w:ascii="Times New Roman" w:hAnsi="Times New Roman" w:eastAsia="仿宋_GB2312" w:cs="Times New Roman"/>
                <w:color w:val="000000"/>
                <w:kern w:val="0"/>
                <w:sz w:val="28"/>
                <w:szCs w:val="28"/>
              </w:rPr>
              <w:t>提供能量或物质的医疗器械对患者或使用者的风险防护</w:t>
            </w:r>
          </w:p>
        </w:tc>
      </w:tr>
      <w:tr w14:paraId="5337F6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tcBorders>
              <w:top w:val="single" w:color="auto" w:sz="8" w:space="0"/>
              <w:left w:val="single" w:color="auto" w:sz="8" w:space="0"/>
              <w:bottom w:val="single" w:color="auto" w:sz="8" w:space="0"/>
              <w:right w:val="single" w:color="auto" w:sz="8" w:space="0"/>
            </w:tcBorders>
            <w:shd w:val="clear" w:color="auto" w:fill="auto"/>
            <w:vAlign w:val="center"/>
          </w:tcPr>
          <w:p w14:paraId="4291813A">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B4.1</w:t>
            </w:r>
          </w:p>
        </w:tc>
        <w:tc>
          <w:tcPr>
            <w:tcW w:w="10266" w:type="dxa"/>
            <w:tcBorders>
              <w:top w:val="single" w:color="auto" w:sz="8" w:space="0"/>
              <w:left w:val="single" w:color="auto" w:sz="8" w:space="0"/>
              <w:bottom w:val="single" w:color="auto" w:sz="8" w:space="0"/>
              <w:right w:val="single" w:color="auto" w:sz="8" w:space="0"/>
            </w:tcBorders>
            <w:shd w:val="clear" w:color="auto" w:fill="auto"/>
            <w:vAlign w:val="center"/>
          </w:tcPr>
          <w:p w14:paraId="631770C0">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用于给患者提供能量或物质的医疗器械，其设计和生产应能精确地设定和维持输出量，以保证患者、使用者和其他人的安全。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14:paraId="154D580F">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412710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trPr>
        <w:tc>
          <w:tcPr>
            <w:tcW w:w="1377" w:type="dxa"/>
            <w:tcBorders>
              <w:top w:val="single" w:color="auto" w:sz="8" w:space="0"/>
            </w:tcBorders>
            <w:shd w:val="clear" w:color="auto" w:fill="auto"/>
            <w:vAlign w:val="center"/>
          </w:tcPr>
          <w:p w14:paraId="25084314">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B4.2</w:t>
            </w:r>
          </w:p>
        </w:tc>
        <w:tc>
          <w:tcPr>
            <w:tcW w:w="10266" w:type="dxa"/>
            <w:tcBorders>
              <w:top w:val="single" w:color="auto" w:sz="8" w:space="0"/>
            </w:tcBorders>
            <w:shd w:val="clear" w:color="auto" w:fill="auto"/>
            <w:vAlign w:val="center"/>
          </w:tcPr>
          <w:p w14:paraId="49022876">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若输出量不足可能导致危险，医疗器械应当具有防止和/或指示“输出量不足”的功能。意外输出危险等级量的能量或物质作为较大风险，应采取适当的措施予以降低。</w:t>
            </w:r>
          </w:p>
        </w:tc>
        <w:tc>
          <w:tcPr>
            <w:tcW w:w="1701" w:type="dxa"/>
            <w:tcBorders>
              <w:top w:val="single" w:color="auto" w:sz="8" w:space="0"/>
              <w:right w:val="single" w:color="auto" w:sz="8" w:space="0"/>
            </w:tcBorders>
            <w:shd w:val="clear" w:color="auto" w:fill="auto"/>
            <w:vAlign w:val="center"/>
          </w:tcPr>
          <w:p w14:paraId="72D71AAB">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r w14:paraId="329813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1377" w:type="dxa"/>
            <w:tcBorders>
              <w:top w:val="single" w:color="auto" w:sz="4" w:space="0"/>
            </w:tcBorders>
            <w:shd w:val="clear" w:color="auto" w:fill="auto"/>
            <w:vAlign w:val="center"/>
          </w:tcPr>
          <w:p w14:paraId="12A64F86">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B5</w:t>
            </w:r>
          </w:p>
        </w:tc>
        <w:tc>
          <w:tcPr>
            <w:tcW w:w="11967" w:type="dxa"/>
            <w:gridSpan w:val="2"/>
            <w:tcBorders>
              <w:top w:val="single" w:color="auto" w:sz="4" w:space="0"/>
              <w:right w:val="single" w:color="auto" w:sz="8" w:space="0"/>
            </w:tcBorders>
            <w:shd w:val="clear" w:color="auto" w:fill="auto"/>
            <w:vAlign w:val="center"/>
          </w:tcPr>
          <w:p w14:paraId="114581FA">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含有药物成分的组合产品</w:t>
            </w:r>
          </w:p>
        </w:tc>
      </w:tr>
      <w:tr w14:paraId="7AAA21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7" w:hRule="atLeast"/>
        </w:trPr>
        <w:tc>
          <w:tcPr>
            <w:tcW w:w="1377" w:type="dxa"/>
            <w:shd w:val="clear" w:color="auto" w:fill="auto"/>
            <w:vAlign w:val="center"/>
          </w:tcPr>
          <w:p w14:paraId="0F2E6B55">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B5.1</w:t>
            </w:r>
          </w:p>
        </w:tc>
        <w:tc>
          <w:tcPr>
            <w:tcW w:w="10266" w:type="dxa"/>
            <w:shd w:val="clear" w:color="auto" w:fill="auto"/>
            <w:vAlign w:val="center"/>
          </w:tcPr>
          <w:p w14:paraId="02D865D6">
            <w:pPr>
              <w:widowControl/>
              <w:spacing w:line="400" w:lineRule="exact"/>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当医疗器械组成成分中含有某种物质，依据监管法规，该物质作为药用产品/药物进行管理，且该物质在体内为医疗器械提供辅助作用时，应将医疗器械和此物质作为一个整体，对其安全和性能进行验证，同时应验证该物质的特征、安全、质量和有效性。</w:t>
            </w:r>
          </w:p>
        </w:tc>
        <w:tc>
          <w:tcPr>
            <w:tcW w:w="1701" w:type="dxa"/>
            <w:shd w:val="clear" w:color="auto" w:fill="auto"/>
            <w:vAlign w:val="center"/>
          </w:tcPr>
          <w:p w14:paraId="42C780EF">
            <w:pPr>
              <w:widowControl/>
              <w:spacing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否</w:t>
            </w:r>
          </w:p>
        </w:tc>
      </w:tr>
    </w:tbl>
    <w:tbl>
      <w:tblPr>
        <w:tblStyle w:val="89"/>
        <w:tblpPr w:leftFromText="180" w:rightFromText="180" w:vertAnchor="text" w:tblpX="13588" w:tblpY="-27067"/>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63A9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24" w:type="dxa"/>
          </w:tcPr>
          <w:p w14:paraId="6BD4F435">
            <w:pPr>
              <w:rPr>
                <w:rFonts w:ascii="Times New Roman" w:hAnsi="Times New Roman" w:eastAsia="黑体" w:cs="Times New Roman"/>
                <w:sz w:val="32"/>
                <w:szCs w:val="32"/>
              </w:rPr>
            </w:pPr>
          </w:p>
        </w:tc>
      </w:tr>
    </w:tbl>
    <w:p w14:paraId="10D25E7C">
      <w:pPr>
        <w:widowControl/>
        <w:jc w:val="left"/>
        <w:rPr>
          <w:rFonts w:ascii="Times New Roman" w:hAnsi="Times New Roman" w:eastAsia="黑体" w:cs="Times New Roman"/>
          <w:sz w:val="32"/>
          <w:szCs w:val="32"/>
        </w:rPr>
      </w:pPr>
      <w:r>
        <w:rPr>
          <w:rFonts w:ascii="Times New Roman" w:hAnsi="Times New Roman" w:cs="Times New Roman"/>
        </w:rPr>
        <mc:AlternateContent>
          <mc:Choice Requires="wps">
            <w:drawing>
              <wp:anchor distT="0" distB="0" distL="114300" distR="114300" simplePos="0" relativeHeight="251678720" behindDoc="0" locked="0" layoutInCell="1" allowOverlap="1">
                <wp:simplePos x="0" y="0"/>
                <wp:positionH relativeFrom="column">
                  <wp:posOffset>8268970</wp:posOffset>
                </wp:positionH>
                <wp:positionV relativeFrom="paragraph">
                  <wp:posOffset>-5111115</wp:posOffset>
                </wp:positionV>
                <wp:extent cx="1095375" cy="409575"/>
                <wp:effectExtent l="0" t="0" r="28575" b="28575"/>
                <wp:wrapNone/>
                <wp:docPr id="2" name="矩形 2"/>
                <wp:cNvGraphicFramePr/>
                <a:graphic xmlns:a="http://schemas.openxmlformats.org/drawingml/2006/main">
                  <a:graphicData uri="http://schemas.microsoft.com/office/word/2010/wordprocessingShape">
                    <wps:wsp>
                      <wps:cNvSpPr/>
                      <wps:spPr>
                        <a:xfrm>
                          <a:off x="0" y="0"/>
                          <a:ext cx="1095375" cy="4095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51.1pt;margin-top:-402.45pt;height:32.25pt;width:86.25pt;z-index:251678720;v-text-anchor:middle;mso-width-relative:page;mso-height-relative:page;" fillcolor="#FFFFFF [3212]" filled="t" stroked="t" coordsize="21600,21600" o:gfxdata="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3Tfew3QAAAA8BAAAPAAAAAAAAAAEAIAAAACIAAABkcnMvZG93bnJldi54bWxQSwECFAAUAAAA&#10;CACHTuJAgHHh2VsCAADdBAAADgAAAAAAAAABACAAAAAsAQAAZHJzL2Uyb0RvYy54bWxQSwUGAAAA&#10;AAYABgBZAQAA+QUAAAAA&#10;">
                <v:fill on="t" focussize="0,0"/>
                <v:stroke weight="2pt" color="#FFFFFF [3212]" joinstyle="round"/>
                <v:imagedata o:title=""/>
                <o:lock v:ext="edit" aspectratio="f"/>
              </v:rect>
            </w:pict>
          </mc:Fallback>
        </mc:AlternateContent>
      </w:r>
      <w:r>
        <w:rPr>
          <w:rFonts w:ascii="Times New Roman" w:hAnsi="Times New Roman" w:cs="Times New Roman"/>
        </w:rPr>
        <mc:AlternateContent>
          <mc:Choice Requires="wps">
            <w:drawing>
              <wp:anchor distT="0" distB="0" distL="114300" distR="114300" simplePos="0" relativeHeight="251672576" behindDoc="0" locked="0" layoutInCell="1" allowOverlap="1">
                <wp:simplePos x="0" y="0"/>
                <wp:positionH relativeFrom="column">
                  <wp:posOffset>-179705</wp:posOffset>
                </wp:positionH>
                <wp:positionV relativeFrom="paragraph">
                  <wp:posOffset>1480185</wp:posOffset>
                </wp:positionV>
                <wp:extent cx="1304925" cy="400050"/>
                <wp:effectExtent l="0" t="0" r="28575" b="19050"/>
                <wp:wrapNone/>
                <wp:docPr id="50" name="矩形 50"/>
                <wp:cNvGraphicFramePr/>
                <a:graphic xmlns:a="http://schemas.openxmlformats.org/drawingml/2006/main">
                  <a:graphicData uri="http://schemas.microsoft.com/office/word/2010/wordprocessingShape">
                    <wps:wsp>
                      <wps:cNvSpPr/>
                      <wps:spPr>
                        <a:xfrm>
                          <a:off x="0" y="0"/>
                          <a:ext cx="1304925"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15pt;margin-top:116.55pt;height:31.5pt;width:102.75pt;z-index:251672576;v-text-anchor:middle;mso-width-relative:page;mso-height-relative:page;" fillcolor="#FFFFFF [3212]" filled="t" stroked="t" coordsize="21600,21600" o:gfxdata="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L3Yf/bAAAACwEAAA8AAAAAAAAAAQAgAAAAIgAAAGRycy9kb3ducmV2LnhtbFBLAQIUABQA&#10;AAAIAIdO4kAlQzBKXwIAAN8EAAAOAAAAAAAAAAEAIAAAACoBAABkcnMvZTJvRG9jLnhtbFBLBQYA&#10;AAAABgAGAFkBAAD7BQAAAAA=&#10;">
                <v:fill on="t" focussize="0,0"/>
                <v:stroke weight="2pt" color="#FFFFFF [3212]" joinstyle="round"/>
                <v:imagedata o:title=""/>
                <o:lock v:ext="edit" aspectratio="f"/>
              </v:rect>
            </w:pict>
          </mc:Fallback>
        </mc:AlternateContent>
      </w: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7877175</wp:posOffset>
                </wp:positionH>
                <wp:positionV relativeFrom="paragraph">
                  <wp:posOffset>2866390</wp:posOffset>
                </wp:positionV>
                <wp:extent cx="942975" cy="247650"/>
                <wp:effectExtent l="0" t="0" r="28575" b="19050"/>
                <wp:wrapNone/>
                <wp:docPr id="33" name="圆角矩形 33"/>
                <wp:cNvGraphicFramePr/>
                <a:graphic xmlns:a="http://schemas.openxmlformats.org/drawingml/2006/main">
                  <a:graphicData uri="http://schemas.microsoft.com/office/word/2010/wordprocessingShape">
                    <wps:wsp>
                      <wps:cNvSpPr/>
                      <wps:spPr>
                        <a:xfrm>
                          <a:off x="0" y="0"/>
                          <a:ext cx="942975" cy="2476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20.25pt;margin-top:225.7pt;height:19.5pt;width:74.25pt;z-index:251660288;v-text-anchor:middle;mso-width-relative:page;mso-height-relative:page;" fillcolor="#FFFFFF [3212]" filled="t" stroked="t" coordsize="21600,21600" arcsize="0.166666666666667" o:gfxdata="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iiUd7bAAAADQEAAA8AAAAAAAAAAQAgAAAAIgAAAGRycy9k&#10;b3ducmV2LnhtbFBLAQIUABQAAAAIAIdO4kDZ7mYXcQIAAOkEAAAOAAAAAAAAAAEAIAAAACoBAABk&#10;cnMvZTJvRG9jLnhtbFBLBQYAAAAABgAGAFkBAAANBgAAAAA=&#10;">
                <v:fill on="t" focussize="0,0"/>
                <v:stroke weight="2pt" color="#FFFFFF [3212]" joinstyle="round"/>
                <v:imagedata o:title=""/>
                <o:lock v:ext="edit" aspectratio="f"/>
              </v:roundrect>
            </w:pict>
          </mc:Fallback>
        </mc:AlternateContent>
      </w:r>
    </w:p>
    <w:p w14:paraId="4615492D">
      <w:pPr>
        <w:outlineLvl w:val="0"/>
        <w:rPr>
          <w:rFonts w:ascii="Times New Roman" w:hAnsi="Times New Roman" w:eastAsia="黑体" w:cs="Times New Roman"/>
          <w:sz w:val="32"/>
          <w:szCs w:val="32"/>
        </w:rPr>
        <w:sectPr>
          <w:pgSz w:w="16838" w:h="11906" w:orient="landscape"/>
          <w:pgMar w:top="1276" w:right="1758" w:bottom="1531" w:left="1588" w:header="851" w:footer="794" w:gutter="0"/>
          <w:cols w:space="425" w:num="1"/>
          <w:docGrid w:type="lines" w:linePitch="312" w:charSpace="0"/>
        </w:sectPr>
      </w:pPr>
    </w:p>
    <w:p w14:paraId="401EE398">
      <w:pPr>
        <w:outlineLvl w:val="0"/>
        <w:rPr>
          <w:rFonts w:ascii="Times New Roman" w:hAnsi="Times New Roman" w:eastAsia="黑体" w:cs="Times New Roman"/>
          <w:sz w:val="32"/>
          <w:szCs w:val="32"/>
        </w:rPr>
      </w:pPr>
      <w:r>
        <w:rPr>
          <w:rFonts w:ascii="Times New Roman" w:hAnsi="Times New Roman" w:eastAsia="黑体" w:cs="Times New Roman"/>
          <w:sz w:val="32"/>
          <w:szCs w:val="32"/>
        </w:rPr>
        <w:t>附件1-2</w:t>
      </w:r>
    </w:p>
    <w:p w14:paraId="7C0E185B">
      <w:pPr>
        <w:rPr>
          <w:rFonts w:ascii="Times New Roman" w:hAnsi="Times New Roman" w:eastAsia="黑体" w:cs="Times New Roman"/>
          <w:sz w:val="32"/>
          <w:szCs w:val="32"/>
        </w:rPr>
      </w:pPr>
    </w:p>
    <w:p w14:paraId="43C9489B">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临床适用范围表格</w:t>
      </w:r>
    </w:p>
    <w:p w14:paraId="1BF32B5E">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系统：______________________________</w:t>
      </w:r>
    </w:p>
    <w:p w14:paraId="5AD36C72">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探头：______________________________</w:t>
      </w:r>
    </w:p>
    <w:p w14:paraId="7BF42D33">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预期用途：超声诊断成像或人体血流分析</w:t>
      </w:r>
    </w:p>
    <w:tbl>
      <w:tblPr>
        <w:tblStyle w:val="88"/>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644"/>
        <w:gridCol w:w="708"/>
        <w:gridCol w:w="709"/>
        <w:gridCol w:w="709"/>
        <w:gridCol w:w="850"/>
        <w:gridCol w:w="851"/>
        <w:gridCol w:w="992"/>
        <w:gridCol w:w="851"/>
      </w:tblGrid>
      <w:tr w14:paraId="5D08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tblHeader/>
        </w:trPr>
        <w:tc>
          <w:tcPr>
            <w:tcW w:w="1179" w:type="dxa"/>
            <w:vAlign w:val="center"/>
          </w:tcPr>
          <w:p w14:paraId="6176EAEC">
            <w:pPr>
              <w:spacing w:line="400" w:lineRule="exact"/>
              <w:ind w:right="-69" w:rightChars="-33"/>
              <w:jc w:val="center"/>
              <w:rPr>
                <w:rFonts w:ascii="Times New Roman" w:hAnsi="Times New Roman" w:eastAsia="黑体" w:cs="Times New Roman"/>
                <w:sz w:val="28"/>
                <w:szCs w:val="28"/>
              </w:rPr>
            </w:pPr>
          </w:p>
        </w:tc>
        <w:tc>
          <w:tcPr>
            <w:tcW w:w="2644" w:type="dxa"/>
            <w:vAlign w:val="center"/>
          </w:tcPr>
          <w:p w14:paraId="2A1F4111">
            <w:pPr>
              <w:spacing w:line="400" w:lineRule="exact"/>
              <w:ind w:right="-69" w:rightChars="-33"/>
              <w:jc w:val="center"/>
              <w:rPr>
                <w:rFonts w:ascii="Times New Roman" w:hAnsi="Times New Roman" w:eastAsia="黑体" w:cs="Times New Roman"/>
                <w:sz w:val="28"/>
                <w:szCs w:val="28"/>
              </w:rPr>
            </w:pPr>
            <w:r>
              <w:rPr>
                <w:rFonts w:ascii="Times New Roman" w:hAnsi="Times New Roman" w:eastAsia="黑体" w:cs="Times New Roman"/>
                <w:sz w:val="28"/>
                <w:szCs w:val="28"/>
              </w:rPr>
              <w:t>临床应用</w:t>
            </w:r>
          </w:p>
        </w:tc>
        <w:tc>
          <w:tcPr>
            <w:tcW w:w="5670" w:type="dxa"/>
            <w:gridSpan w:val="7"/>
            <w:vAlign w:val="center"/>
          </w:tcPr>
          <w:p w14:paraId="0C100125">
            <w:pPr>
              <w:spacing w:line="400" w:lineRule="exact"/>
              <w:ind w:left="-69" w:leftChars="-33" w:right="-69" w:rightChars="-33"/>
              <w:jc w:val="center"/>
              <w:rPr>
                <w:rFonts w:ascii="Times New Roman" w:hAnsi="Times New Roman" w:eastAsia="黑体" w:cs="Times New Roman"/>
                <w:sz w:val="28"/>
                <w:szCs w:val="28"/>
              </w:rPr>
            </w:pPr>
            <w:r>
              <w:rPr>
                <w:rFonts w:ascii="Times New Roman" w:hAnsi="Times New Roman" w:eastAsia="黑体" w:cs="Times New Roman"/>
                <w:sz w:val="28"/>
                <w:szCs w:val="28"/>
              </w:rPr>
              <w:t>成像模式/工作模式、功能</w:t>
            </w:r>
          </w:p>
        </w:tc>
      </w:tr>
      <w:tr w14:paraId="0D61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blHeader/>
        </w:trPr>
        <w:tc>
          <w:tcPr>
            <w:tcW w:w="1179" w:type="dxa"/>
            <w:vAlign w:val="center"/>
          </w:tcPr>
          <w:p w14:paraId="2FBC87C0">
            <w:pPr>
              <w:spacing w:line="400" w:lineRule="exact"/>
              <w:ind w:left="-69" w:leftChars="-33" w:right="-69" w:rightChars="-33"/>
              <w:jc w:val="center"/>
              <w:rPr>
                <w:rFonts w:ascii="Times New Roman" w:hAnsi="Times New Roman" w:eastAsia="黑体" w:cs="Times New Roman"/>
                <w:sz w:val="28"/>
                <w:szCs w:val="28"/>
              </w:rPr>
            </w:pPr>
          </w:p>
        </w:tc>
        <w:tc>
          <w:tcPr>
            <w:tcW w:w="2644" w:type="dxa"/>
            <w:vAlign w:val="center"/>
          </w:tcPr>
          <w:p w14:paraId="6EB0959B">
            <w:pPr>
              <w:spacing w:line="400" w:lineRule="exact"/>
              <w:ind w:left="-69" w:leftChars="-33" w:right="-69" w:rightChars="-33"/>
              <w:jc w:val="center"/>
              <w:rPr>
                <w:rFonts w:ascii="Times New Roman" w:hAnsi="Times New Roman" w:eastAsia="黑体" w:cs="Times New Roman"/>
                <w:sz w:val="28"/>
                <w:szCs w:val="28"/>
              </w:rPr>
            </w:pPr>
            <w:r>
              <w:rPr>
                <w:rFonts w:ascii="Times New Roman" w:hAnsi="Times New Roman" w:eastAsia="黑体" w:cs="Times New Roman"/>
                <w:sz w:val="28"/>
                <w:szCs w:val="28"/>
              </w:rPr>
              <w:t>特定应用</w:t>
            </w:r>
          </w:p>
        </w:tc>
        <w:tc>
          <w:tcPr>
            <w:tcW w:w="708" w:type="dxa"/>
            <w:vAlign w:val="center"/>
          </w:tcPr>
          <w:p w14:paraId="076858BE">
            <w:pPr>
              <w:spacing w:line="400" w:lineRule="exact"/>
              <w:ind w:left="-69" w:leftChars="-33" w:right="-69" w:rightChars="-33"/>
              <w:jc w:val="center"/>
              <w:rPr>
                <w:rFonts w:ascii="Times New Roman" w:hAnsi="Times New Roman" w:eastAsia="黑体" w:cs="Times New Roman"/>
                <w:sz w:val="28"/>
                <w:szCs w:val="28"/>
              </w:rPr>
            </w:pPr>
            <w:r>
              <w:rPr>
                <w:rFonts w:ascii="Times New Roman" w:hAnsi="Times New Roman" w:eastAsia="黑体" w:cs="Times New Roman"/>
                <w:sz w:val="28"/>
                <w:szCs w:val="28"/>
              </w:rPr>
              <w:t>B</w:t>
            </w:r>
          </w:p>
        </w:tc>
        <w:tc>
          <w:tcPr>
            <w:tcW w:w="709" w:type="dxa"/>
            <w:vAlign w:val="center"/>
          </w:tcPr>
          <w:p w14:paraId="49212732">
            <w:pPr>
              <w:spacing w:line="400" w:lineRule="exact"/>
              <w:ind w:left="-69" w:leftChars="-33" w:right="-69" w:rightChars="-33"/>
              <w:jc w:val="center"/>
              <w:rPr>
                <w:rFonts w:ascii="Times New Roman" w:hAnsi="Times New Roman" w:eastAsia="黑体" w:cs="Times New Roman"/>
                <w:sz w:val="28"/>
                <w:szCs w:val="28"/>
              </w:rPr>
            </w:pPr>
            <w:r>
              <w:rPr>
                <w:rFonts w:ascii="Times New Roman" w:hAnsi="Times New Roman" w:eastAsia="黑体" w:cs="Times New Roman"/>
                <w:sz w:val="28"/>
                <w:szCs w:val="28"/>
              </w:rPr>
              <w:t>M</w:t>
            </w:r>
          </w:p>
        </w:tc>
        <w:tc>
          <w:tcPr>
            <w:tcW w:w="709" w:type="dxa"/>
            <w:vAlign w:val="center"/>
          </w:tcPr>
          <w:p w14:paraId="17E98F85">
            <w:pPr>
              <w:spacing w:line="400" w:lineRule="exact"/>
              <w:ind w:left="-69" w:leftChars="-33" w:right="-69" w:rightChars="-33"/>
              <w:jc w:val="center"/>
              <w:rPr>
                <w:rFonts w:ascii="Times New Roman" w:hAnsi="Times New Roman" w:eastAsia="黑体" w:cs="Times New Roman"/>
                <w:sz w:val="28"/>
                <w:szCs w:val="28"/>
              </w:rPr>
            </w:pPr>
            <w:r>
              <w:rPr>
                <w:rFonts w:ascii="Times New Roman" w:hAnsi="Times New Roman" w:eastAsia="黑体" w:cs="Times New Roman"/>
                <w:sz w:val="28"/>
                <w:szCs w:val="28"/>
              </w:rPr>
              <w:t>PWD</w:t>
            </w:r>
          </w:p>
        </w:tc>
        <w:tc>
          <w:tcPr>
            <w:tcW w:w="850" w:type="dxa"/>
            <w:vAlign w:val="center"/>
          </w:tcPr>
          <w:p w14:paraId="7633996F">
            <w:pPr>
              <w:spacing w:line="400" w:lineRule="exact"/>
              <w:ind w:left="-69" w:leftChars="-33" w:right="-69" w:rightChars="-33"/>
              <w:jc w:val="center"/>
              <w:rPr>
                <w:rFonts w:ascii="Times New Roman" w:hAnsi="Times New Roman" w:eastAsia="黑体" w:cs="Times New Roman"/>
                <w:sz w:val="28"/>
                <w:szCs w:val="28"/>
              </w:rPr>
            </w:pPr>
            <w:r>
              <w:rPr>
                <w:rFonts w:ascii="Times New Roman" w:hAnsi="Times New Roman" w:eastAsia="黑体" w:cs="Times New Roman"/>
                <w:sz w:val="28"/>
                <w:szCs w:val="28"/>
              </w:rPr>
              <w:t>CWD</w:t>
            </w:r>
          </w:p>
        </w:tc>
        <w:tc>
          <w:tcPr>
            <w:tcW w:w="851" w:type="dxa"/>
            <w:vAlign w:val="center"/>
          </w:tcPr>
          <w:p w14:paraId="34923967">
            <w:pPr>
              <w:spacing w:line="400" w:lineRule="exact"/>
              <w:ind w:left="-69" w:leftChars="-33" w:right="-69" w:rightChars="-33"/>
              <w:jc w:val="center"/>
              <w:rPr>
                <w:rFonts w:ascii="Times New Roman" w:hAnsi="Times New Roman" w:eastAsia="黑体" w:cs="Times New Roman"/>
                <w:sz w:val="28"/>
                <w:szCs w:val="28"/>
              </w:rPr>
            </w:pPr>
            <w:r>
              <w:rPr>
                <w:rFonts w:ascii="Times New Roman" w:hAnsi="Times New Roman" w:eastAsia="黑体" w:cs="Times New Roman"/>
                <w:sz w:val="28"/>
                <w:szCs w:val="28"/>
              </w:rPr>
              <w:t>彩色</w:t>
            </w:r>
          </w:p>
          <w:p w14:paraId="68B0E47B">
            <w:pPr>
              <w:spacing w:line="400" w:lineRule="exact"/>
              <w:ind w:left="-69" w:leftChars="-33" w:right="-69" w:rightChars="-33"/>
              <w:jc w:val="center"/>
              <w:rPr>
                <w:rFonts w:ascii="Times New Roman" w:hAnsi="Times New Roman" w:eastAsia="黑体" w:cs="Times New Roman"/>
                <w:sz w:val="28"/>
                <w:szCs w:val="28"/>
              </w:rPr>
            </w:pPr>
            <w:r>
              <w:rPr>
                <w:rFonts w:ascii="Times New Roman" w:hAnsi="Times New Roman" w:eastAsia="黑体" w:cs="Times New Roman"/>
                <w:sz w:val="28"/>
                <w:szCs w:val="28"/>
              </w:rPr>
              <w:t>多普勒</w:t>
            </w:r>
          </w:p>
        </w:tc>
        <w:tc>
          <w:tcPr>
            <w:tcW w:w="992" w:type="dxa"/>
            <w:vAlign w:val="center"/>
          </w:tcPr>
          <w:p w14:paraId="653A2822">
            <w:pPr>
              <w:spacing w:line="400" w:lineRule="exact"/>
              <w:ind w:left="-69" w:leftChars="-33" w:right="-69" w:rightChars="-33"/>
              <w:jc w:val="center"/>
              <w:rPr>
                <w:rFonts w:ascii="Times New Roman" w:hAnsi="Times New Roman" w:eastAsia="黑体" w:cs="Times New Roman"/>
                <w:sz w:val="28"/>
                <w:szCs w:val="28"/>
              </w:rPr>
            </w:pPr>
            <w:r>
              <w:rPr>
                <w:rFonts w:ascii="Times New Roman" w:hAnsi="Times New Roman" w:eastAsia="黑体" w:cs="Times New Roman"/>
                <w:sz w:val="28"/>
                <w:szCs w:val="28"/>
              </w:rPr>
              <w:t>组合式</w:t>
            </w:r>
          </w:p>
          <w:p w14:paraId="03229E4F">
            <w:pPr>
              <w:spacing w:line="400" w:lineRule="exact"/>
              <w:ind w:left="-69" w:leftChars="-33" w:right="-69" w:rightChars="-33"/>
              <w:jc w:val="center"/>
              <w:rPr>
                <w:rFonts w:ascii="Times New Roman" w:hAnsi="Times New Roman" w:eastAsia="黑体" w:cs="Times New Roman"/>
                <w:sz w:val="28"/>
                <w:szCs w:val="28"/>
              </w:rPr>
            </w:pPr>
            <w:r>
              <w:rPr>
                <w:rFonts w:ascii="Times New Roman" w:hAnsi="Times New Roman" w:eastAsia="黑体" w:cs="Times New Roman"/>
                <w:sz w:val="28"/>
                <w:szCs w:val="28"/>
              </w:rPr>
              <w:t>（指明）</w:t>
            </w:r>
          </w:p>
        </w:tc>
        <w:tc>
          <w:tcPr>
            <w:tcW w:w="851" w:type="dxa"/>
            <w:vAlign w:val="center"/>
          </w:tcPr>
          <w:p w14:paraId="621FFD23">
            <w:pPr>
              <w:spacing w:line="400" w:lineRule="exact"/>
              <w:ind w:left="-69" w:leftChars="-33" w:right="-69" w:rightChars="-33"/>
              <w:jc w:val="center"/>
              <w:rPr>
                <w:rFonts w:ascii="Times New Roman" w:hAnsi="Times New Roman" w:eastAsia="黑体" w:cs="Times New Roman"/>
                <w:sz w:val="28"/>
                <w:szCs w:val="28"/>
              </w:rPr>
            </w:pPr>
            <w:r>
              <w:rPr>
                <w:rFonts w:ascii="Times New Roman" w:hAnsi="Times New Roman" w:eastAsia="黑体" w:cs="Times New Roman"/>
                <w:sz w:val="28"/>
                <w:szCs w:val="28"/>
              </w:rPr>
              <w:t>其他</w:t>
            </w:r>
          </w:p>
          <w:p w14:paraId="003F09A7">
            <w:pPr>
              <w:spacing w:line="400" w:lineRule="exact"/>
              <w:ind w:left="-69" w:leftChars="-33" w:right="-69" w:rightChars="-33"/>
              <w:jc w:val="center"/>
              <w:rPr>
                <w:rFonts w:ascii="Times New Roman" w:hAnsi="Times New Roman" w:eastAsia="黑体" w:cs="Times New Roman"/>
                <w:sz w:val="28"/>
                <w:szCs w:val="28"/>
              </w:rPr>
            </w:pPr>
            <w:r>
              <w:rPr>
                <w:rFonts w:ascii="Times New Roman" w:hAnsi="Times New Roman" w:eastAsia="黑体" w:cs="Times New Roman"/>
                <w:sz w:val="28"/>
                <w:szCs w:val="28"/>
              </w:rPr>
              <w:t>（指明）</w:t>
            </w:r>
          </w:p>
        </w:tc>
      </w:tr>
      <w:tr w14:paraId="6CAA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restart"/>
            <w:vAlign w:val="center"/>
          </w:tcPr>
          <w:p w14:paraId="038BBFDC">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胎儿成像</w:t>
            </w:r>
          </w:p>
          <w:p w14:paraId="234C141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及其他</w:t>
            </w:r>
          </w:p>
        </w:tc>
        <w:tc>
          <w:tcPr>
            <w:tcW w:w="2644" w:type="dxa"/>
            <w:vAlign w:val="center"/>
          </w:tcPr>
          <w:p w14:paraId="38AAEEEE">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胎儿</w:t>
            </w:r>
          </w:p>
        </w:tc>
        <w:tc>
          <w:tcPr>
            <w:tcW w:w="708" w:type="dxa"/>
            <w:vAlign w:val="center"/>
          </w:tcPr>
          <w:p w14:paraId="109CFE33">
            <w:pPr>
              <w:spacing w:line="400" w:lineRule="exact"/>
              <w:jc w:val="center"/>
              <w:rPr>
                <w:rFonts w:ascii="Times New Roman" w:hAnsi="Times New Roman" w:eastAsia="仿宋_GB2312" w:cs="Times New Roman"/>
                <w:sz w:val="28"/>
                <w:szCs w:val="28"/>
              </w:rPr>
            </w:pPr>
          </w:p>
        </w:tc>
        <w:tc>
          <w:tcPr>
            <w:tcW w:w="709" w:type="dxa"/>
            <w:vAlign w:val="center"/>
          </w:tcPr>
          <w:p w14:paraId="71D0A6EB">
            <w:pPr>
              <w:spacing w:line="400" w:lineRule="exact"/>
              <w:jc w:val="center"/>
              <w:rPr>
                <w:rFonts w:ascii="Times New Roman" w:hAnsi="Times New Roman" w:eastAsia="仿宋_GB2312" w:cs="Times New Roman"/>
                <w:sz w:val="28"/>
                <w:szCs w:val="28"/>
              </w:rPr>
            </w:pPr>
          </w:p>
        </w:tc>
        <w:tc>
          <w:tcPr>
            <w:tcW w:w="709" w:type="dxa"/>
            <w:vAlign w:val="center"/>
          </w:tcPr>
          <w:p w14:paraId="6CA06EA5">
            <w:pPr>
              <w:spacing w:line="400" w:lineRule="exact"/>
              <w:jc w:val="center"/>
              <w:rPr>
                <w:rFonts w:ascii="Times New Roman" w:hAnsi="Times New Roman" w:eastAsia="仿宋_GB2312" w:cs="Times New Roman"/>
                <w:sz w:val="28"/>
                <w:szCs w:val="28"/>
              </w:rPr>
            </w:pPr>
          </w:p>
        </w:tc>
        <w:tc>
          <w:tcPr>
            <w:tcW w:w="850" w:type="dxa"/>
            <w:vAlign w:val="center"/>
          </w:tcPr>
          <w:p w14:paraId="61C191B9">
            <w:pPr>
              <w:spacing w:line="400" w:lineRule="exact"/>
              <w:jc w:val="center"/>
              <w:rPr>
                <w:rFonts w:ascii="Times New Roman" w:hAnsi="Times New Roman" w:eastAsia="仿宋_GB2312" w:cs="Times New Roman"/>
                <w:sz w:val="28"/>
                <w:szCs w:val="28"/>
              </w:rPr>
            </w:pPr>
          </w:p>
        </w:tc>
        <w:tc>
          <w:tcPr>
            <w:tcW w:w="851" w:type="dxa"/>
            <w:vAlign w:val="center"/>
          </w:tcPr>
          <w:p w14:paraId="5A0041B1">
            <w:pPr>
              <w:spacing w:line="400" w:lineRule="exact"/>
              <w:jc w:val="center"/>
              <w:rPr>
                <w:rFonts w:ascii="Times New Roman" w:hAnsi="Times New Roman" w:eastAsia="仿宋_GB2312" w:cs="Times New Roman"/>
                <w:sz w:val="28"/>
                <w:szCs w:val="28"/>
              </w:rPr>
            </w:pPr>
          </w:p>
        </w:tc>
        <w:tc>
          <w:tcPr>
            <w:tcW w:w="992" w:type="dxa"/>
            <w:vAlign w:val="center"/>
          </w:tcPr>
          <w:p w14:paraId="56E51B2F">
            <w:pPr>
              <w:spacing w:line="400" w:lineRule="exact"/>
              <w:jc w:val="center"/>
              <w:rPr>
                <w:rFonts w:ascii="Times New Roman" w:hAnsi="Times New Roman" w:eastAsia="仿宋_GB2312" w:cs="Times New Roman"/>
                <w:sz w:val="28"/>
                <w:szCs w:val="28"/>
              </w:rPr>
            </w:pPr>
          </w:p>
        </w:tc>
        <w:tc>
          <w:tcPr>
            <w:tcW w:w="851" w:type="dxa"/>
            <w:vAlign w:val="center"/>
          </w:tcPr>
          <w:p w14:paraId="2E50CBE4">
            <w:pPr>
              <w:spacing w:line="400" w:lineRule="exact"/>
              <w:jc w:val="center"/>
              <w:rPr>
                <w:rFonts w:ascii="Times New Roman" w:hAnsi="Times New Roman" w:eastAsia="仿宋_GB2312" w:cs="Times New Roman"/>
                <w:sz w:val="28"/>
                <w:szCs w:val="28"/>
              </w:rPr>
            </w:pPr>
          </w:p>
        </w:tc>
      </w:tr>
      <w:tr w14:paraId="76EF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6D9FEE9C">
            <w:pPr>
              <w:spacing w:line="400" w:lineRule="exact"/>
              <w:jc w:val="center"/>
              <w:rPr>
                <w:rFonts w:ascii="Times New Roman" w:hAnsi="Times New Roman" w:eastAsia="仿宋_GB2312" w:cs="Times New Roman"/>
                <w:sz w:val="28"/>
                <w:szCs w:val="28"/>
              </w:rPr>
            </w:pPr>
          </w:p>
        </w:tc>
        <w:tc>
          <w:tcPr>
            <w:tcW w:w="2644" w:type="dxa"/>
            <w:vAlign w:val="center"/>
          </w:tcPr>
          <w:p w14:paraId="2B91D022">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腹部</w:t>
            </w:r>
          </w:p>
        </w:tc>
        <w:tc>
          <w:tcPr>
            <w:tcW w:w="708" w:type="dxa"/>
            <w:vAlign w:val="center"/>
          </w:tcPr>
          <w:p w14:paraId="13EA6CC4">
            <w:pPr>
              <w:spacing w:line="400" w:lineRule="exact"/>
              <w:jc w:val="center"/>
              <w:rPr>
                <w:rFonts w:ascii="Times New Roman" w:hAnsi="Times New Roman" w:eastAsia="仿宋_GB2312" w:cs="Times New Roman"/>
                <w:sz w:val="28"/>
                <w:szCs w:val="28"/>
              </w:rPr>
            </w:pPr>
          </w:p>
        </w:tc>
        <w:tc>
          <w:tcPr>
            <w:tcW w:w="709" w:type="dxa"/>
            <w:vAlign w:val="center"/>
          </w:tcPr>
          <w:p w14:paraId="235B4876">
            <w:pPr>
              <w:spacing w:line="400" w:lineRule="exact"/>
              <w:jc w:val="center"/>
              <w:rPr>
                <w:rFonts w:ascii="Times New Roman" w:hAnsi="Times New Roman" w:eastAsia="仿宋_GB2312" w:cs="Times New Roman"/>
                <w:sz w:val="28"/>
                <w:szCs w:val="28"/>
              </w:rPr>
            </w:pPr>
          </w:p>
        </w:tc>
        <w:tc>
          <w:tcPr>
            <w:tcW w:w="709" w:type="dxa"/>
            <w:vAlign w:val="center"/>
          </w:tcPr>
          <w:p w14:paraId="7FF7A59D">
            <w:pPr>
              <w:spacing w:line="400" w:lineRule="exact"/>
              <w:jc w:val="center"/>
              <w:rPr>
                <w:rFonts w:ascii="Times New Roman" w:hAnsi="Times New Roman" w:eastAsia="仿宋_GB2312" w:cs="Times New Roman"/>
                <w:sz w:val="28"/>
                <w:szCs w:val="28"/>
              </w:rPr>
            </w:pPr>
          </w:p>
        </w:tc>
        <w:tc>
          <w:tcPr>
            <w:tcW w:w="850" w:type="dxa"/>
            <w:vAlign w:val="center"/>
          </w:tcPr>
          <w:p w14:paraId="5A997491">
            <w:pPr>
              <w:spacing w:line="400" w:lineRule="exact"/>
              <w:jc w:val="center"/>
              <w:rPr>
                <w:rFonts w:ascii="Times New Roman" w:hAnsi="Times New Roman" w:eastAsia="仿宋_GB2312" w:cs="Times New Roman"/>
                <w:sz w:val="28"/>
                <w:szCs w:val="28"/>
              </w:rPr>
            </w:pPr>
          </w:p>
        </w:tc>
        <w:tc>
          <w:tcPr>
            <w:tcW w:w="851" w:type="dxa"/>
            <w:vAlign w:val="center"/>
          </w:tcPr>
          <w:p w14:paraId="4C19B452">
            <w:pPr>
              <w:spacing w:line="400" w:lineRule="exact"/>
              <w:jc w:val="center"/>
              <w:rPr>
                <w:rFonts w:ascii="Times New Roman" w:hAnsi="Times New Roman" w:eastAsia="仿宋_GB2312" w:cs="Times New Roman"/>
                <w:sz w:val="28"/>
                <w:szCs w:val="28"/>
              </w:rPr>
            </w:pPr>
          </w:p>
        </w:tc>
        <w:tc>
          <w:tcPr>
            <w:tcW w:w="992" w:type="dxa"/>
            <w:vAlign w:val="center"/>
          </w:tcPr>
          <w:p w14:paraId="112778DF">
            <w:pPr>
              <w:spacing w:line="400" w:lineRule="exact"/>
              <w:jc w:val="center"/>
              <w:rPr>
                <w:rFonts w:ascii="Times New Roman" w:hAnsi="Times New Roman" w:eastAsia="仿宋_GB2312" w:cs="Times New Roman"/>
                <w:sz w:val="28"/>
                <w:szCs w:val="28"/>
              </w:rPr>
            </w:pPr>
          </w:p>
        </w:tc>
        <w:tc>
          <w:tcPr>
            <w:tcW w:w="851" w:type="dxa"/>
            <w:vAlign w:val="center"/>
          </w:tcPr>
          <w:p w14:paraId="3254B6A3">
            <w:pPr>
              <w:spacing w:line="400" w:lineRule="exact"/>
              <w:jc w:val="center"/>
              <w:rPr>
                <w:rFonts w:ascii="Times New Roman" w:hAnsi="Times New Roman" w:eastAsia="仿宋_GB2312" w:cs="Times New Roman"/>
                <w:sz w:val="28"/>
                <w:szCs w:val="28"/>
              </w:rPr>
            </w:pPr>
          </w:p>
        </w:tc>
      </w:tr>
      <w:tr w14:paraId="236B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59E1F1CC">
            <w:pPr>
              <w:spacing w:line="400" w:lineRule="exact"/>
              <w:jc w:val="center"/>
              <w:rPr>
                <w:rFonts w:ascii="Times New Roman" w:hAnsi="Times New Roman" w:eastAsia="仿宋_GB2312" w:cs="Times New Roman"/>
                <w:sz w:val="28"/>
                <w:szCs w:val="28"/>
              </w:rPr>
            </w:pPr>
          </w:p>
        </w:tc>
        <w:tc>
          <w:tcPr>
            <w:tcW w:w="2644" w:type="dxa"/>
            <w:vAlign w:val="center"/>
          </w:tcPr>
          <w:p w14:paraId="4C061486">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术中（指明）</w:t>
            </w:r>
          </w:p>
        </w:tc>
        <w:tc>
          <w:tcPr>
            <w:tcW w:w="708" w:type="dxa"/>
            <w:vAlign w:val="center"/>
          </w:tcPr>
          <w:p w14:paraId="204E245C">
            <w:pPr>
              <w:spacing w:line="400" w:lineRule="exact"/>
              <w:jc w:val="center"/>
              <w:rPr>
                <w:rFonts w:ascii="Times New Roman" w:hAnsi="Times New Roman" w:eastAsia="仿宋_GB2312" w:cs="Times New Roman"/>
                <w:sz w:val="28"/>
                <w:szCs w:val="28"/>
              </w:rPr>
            </w:pPr>
          </w:p>
        </w:tc>
        <w:tc>
          <w:tcPr>
            <w:tcW w:w="709" w:type="dxa"/>
            <w:vAlign w:val="center"/>
          </w:tcPr>
          <w:p w14:paraId="70D5A26E">
            <w:pPr>
              <w:spacing w:line="400" w:lineRule="exact"/>
              <w:jc w:val="center"/>
              <w:rPr>
                <w:rFonts w:ascii="Times New Roman" w:hAnsi="Times New Roman" w:eastAsia="仿宋_GB2312" w:cs="Times New Roman"/>
                <w:sz w:val="28"/>
                <w:szCs w:val="28"/>
              </w:rPr>
            </w:pPr>
          </w:p>
        </w:tc>
        <w:tc>
          <w:tcPr>
            <w:tcW w:w="709" w:type="dxa"/>
            <w:vAlign w:val="center"/>
          </w:tcPr>
          <w:p w14:paraId="4EC53AF7">
            <w:pPr>
              <w:spacing w:line="400" w:lineRule="exact"/>
              <w:jc w:val="center"/>
              <w:rPr>
                <w:rFonts w:ascii="Times New Roman" w:hAnsi="Times New Roman" w:eastAsia="仿宋_GB2312" w:cs="Times New Roman"/>
                <w:sz w:val="28"/>
                <w:szCs w:val="28"/>
              </w:rPr>
            </w:pPr>
          </w:p>
        </w:tc>
        <w:tc>
          <w:tcPr>
            <w:tcW w:w="850" w:type="dxa"/>
            <w:vAlign w:val="center"/>
          </w:tcPr>
          <w:p w14:paraId="7F73E9DF">
            <w:pPr>
              <w:spacing w:line="400" w:lineRule="exact"/>
              <w:jc w:val="center"/>
              <w:rPr>
                <w:rFonts w:ascii="Times New Roman" w:hAnsi="Times New Roman" w:eastAsia="仿宋_GB2312" w:cs="Times New Roman"/>
                <w:sz w:val="28"/>
                <w:szCs w:val="28"/>
              </w:rPr>
            </w:pPr>
          </w:p>
        </w:tc>
        <w:tc>
          <w:tcPr>
            <w:tcW w:w="851" w:type="dxa"/>
            <w:vAlign w:val="center"/>
          </w:tcPr>
          <w:p w14:paraId="1CE00F8B">
            <w:pPr>
              <w:spacing w:line="400" w:lineRule="exact"/>
              <w:jc w:val="center"/>
              <w:rPr>
                <w:rFonts w:ascii="Times New Roman" w:hAnsi="Times New Roman" w:eastAsia="仿宋_GB2312" w:cs="Times New Roman"/>
                <w:sz w:val="28"/>
                <w:szCs w:val="28"/>
              </w:rPr>
            </w:pPr>
          </w:p>
        </w:tc>
        <w:tc>
          <w:tcPr>
            <w:tcW w:w="992" w:type="dxa"/>
            <w:vAlign w:val="center"/>
          </w:tcPr>
          <w:p w14:paraId="5AC100F7">
            <w:pPr>
              <w:spacing w:line="400" w:lineRule="exact"/>
              <w:jc w:val="center"/>
              <w:rPr>
                <w:rFonts w:ascii="Times New Roman" w:hAnsi="Times New Roman" w:eastAsia="仿宋_GB2312" w:cs="Times New Roman"/>
                <w:sz w:val="28"/>
                <w:szCs w:val="28"/>
              </w:rPr>
            </w:pPr>
          </w:p>
        </w:tc>
        <w:tc>
          <w:tcPr>
            <w:tcW w:w="851" w:type="dxa"/>
            <w:vAlign w:val="center"/>
          </w:tcPr>
          <w:p w14:paraId="394EE9C9">
            <w:pPr>
              <w:spacing w:line="400" w:lineRule="exact"/>
              <w:jc w:val="center"/>
              <w:rPr>
                <w:rFonts w:ascii="Times New Roman" w:hAnsi="Times New Roman" w:eastAsia="仿宋_GB2312" w:cs="Times New Roman"/>
                <w:sz w:val="28"/>
                <w:szCs w:val="28"/>
              </w:rPr>
            </w:pPr>
          </w:p>
        </w:tc>
      </w:tr>
      <w:tr w14:paraId="5C20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6F18BAAF">
            <w:pPr>
              <w:spacing w:line="400" w:lineRule="exact"/>
              <w:jc w:val="center"/>
              <w:rPr>
                <w:rFonts w:ascii="Times New Roman" w:hAnsi="Times New Roman" w:eastAsia="仿宋_GB2312" w:cs="Times New Roman"/>
                <w:sz w:val="28"/>
                <w:szCs w:val="28"/>
              </w:rPr>
            </w:pPr>
          </w:p>
        </w:tc>
        <w:tc>
          <w:tcPr>
            <w:tcW w:w="2644" w:type="dxa"/>
            <w:vAlign w:val="center"/>
          </w:tcPr>
          <w:p w14:paraId="22BEB081">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术中（神经）</w:t>
            </w:r>
          </w:p>
        </w:tc>
        <w:tc>
          <w:tcPr>
            <w:tcW w:w="708" w:type="dxa"/>
            <w:vAlign w:val="center"/>
          </w:tcPr>
          <w:p w14:paraId="0886121E">
            <w:pPr>
              <w:spacing w:line="400" w:lineRule="exact"/>
              <w:jc w:val="center"/>
              <w:rPr>
                <w:rFonts w:ascii="Times New Roman" w:hAnsi="Times New Roman" w:eastAsia="仿宋_GB2312" w:cs="Times New Roman"/>
                <w:sz w:val="28"/>
                <w:szCs w:val="28"/>
              </w:rPr>
            </w:pPr>
          </w:p>
        </w:tc>
        <w:tc>
          <w:tcPr>
            <w:tcW w:w="709" w:type="dxa"/>
            <w:vAlign w:val="center"/>
          </w:tcPr>
          <w:p w14:paraId="1A71C6CB">
            <w:pPr>
              <w:spacing w:line="400" w:lineRule="exact"/>
              <w:jc w:val="center"/>
              <w:rPr>
                <w:rFonts w:ascii="Times New Roman" w:hAnsi="Times New Roman" w:eastAsia="仿宋_GB2312" w:cs="Times New Roman"/>
                <w:sz w:val="28"/>
                <w:szCs w:val="28"/>
              </w:rPr>
            </w:pPr>
          </w:p>
        </w:tc>
        <w:tc>
          <w:tcPr>
            <w:tcW w:w="709" w:type="dxa"/>
            <w:vAlign w:val="center"/>
          </w:tcPr>
          <w:p w14:paraId="19E40E93">
            <w:pPr>
              <w:spacing w:line="400" w:lineRule="exact"/>
              <w:jc w:val="center"/>
              <w:rPr>
                <w:rFonts w:ascii="Times New Roman" w:hAnsi="Times New Roman" w:eastAsia="仿宋_GB2312" w:cs="Times New Roman"/>
                <w:sz w:val="28"/>
                <w:szCs w:val="28"/>
              </w:rPr>
            </w:pPr>
          </w:p>
        </w:tc>
        <w:tc>
          <w:tcPr>
            <w:tcW w:w="850" w:type="dxa"/>
            <w:vAlign w:val="center"/>
          </w:tcPr>
          <w:p w14:paraId="5D0FD30D">
            <w:pPr>
              <w:spacing w:line="400" w:lineRule="exact"/>
              <w:jc w:val="center"/>
              <w:rPr>
                <w:rFonts w:ascii="Times New Roman" w:hAnsi="Times New Roman" w:eastAsia="仿宋_GB2312" w:cs="Times New Roman"/>
                <w:sz w:val="28"/>
                <w:szCs w:val="28"/>
              </w:rPr>
            </w:pPr>
          </w:p>
        </w:tc>
        <w:tc>
          <w:tcPr>
            <w:tcW w:w="851" w:type="dxa"/>
            <w:vAlign w:val="center"/>
          </w:tcPr>
          <w:p w14:paraId="432075A9">
            <w:pPr>
              <w:spacing w:line="400" w:lineRule="exact"/>
              <w:jc w:val="center"/>
              <w:rPr>
                <w:rFonts w:ascii="Times New Roman" w:hAnsi="Times New Roman" w:eastAsia="仿宋_GB2312" w:cs="Times New Roman"/>
                <w:sz w:val="28"/>
                <w:szCs w:val="28"/>
              </w:rPr>
            </w:pPr>
          </w:p>
        </w:tc>
        <w:tc>
          <w:tcPr>
            <w:tcW w:w="992" w:type="dxa"/>
            <w:vAlign w:val="center"/>
          </w:tcPr>
          <w:p w14:paraId="4F4EA95D">
            <w:pPr>
              <w:spacing w:line="400" w:lineRule="exact"/>
              <w:jc w:val="center"/>
              <w:rPr>
                <w:rFonts w:ascii="Times New Roman" w:hAnsi="Times New Roman" w:eastAsia="仿宋_GB2312" w:cs="Times New Roman"/>
                <w:sz w:val="28"/>
                <w:szCs w:val="28"/>
              </w:rPr>
            </w:pPr>
          </w:p>
        </w:tc>
        <w:tc>
          <w:tcPr>
            <w:tcW w:w="851" w:type="dxa"/>
            <w:vAlign w:val="center"/>
          </w:tcPr>
          <w:p w14:paraId="17C42DE1">
            <w:pPr>
              <w:spacing w:line="400" w:lineRule="exact"/>
              <w:jc w:val="center"/>
              <w:rPr>
                <w:rFonts w:ascii="Times New Roman" w:hAnsi="Times New Roman" w:eastAsia="仿宋_GB2312" w:cs="Times New Roman"/>
                <w:sz w:val="28"/>
                <w:szCs w:val="28"/>
              </w:rPr>
            </w:pPr>
          </w:p>
        </w:tc>
      </w:tr>
      <w:tr w14:paraId="62B9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6FE92597">
            <w:pPr>
              <w:spacing w:line="400" w:lineRule="exact"/>
              <w:jc w:val="center"/>
              <w:rPr>
                <w:rFonts w:ascii="Times New Roman" w:hAnsi="Times New Roman" w:eastAsia="仿宋_GB2312" w:cs="Times New Roman"/>
                <w:sz w:val="28"/>
                <w:szCs w:val="28"/>
              </w:rPr>
            </w:pPr>
          </w:p>
        </w:tc>
        <w:tc>
          <w:tcPr>
            <w:tcW w:w="2644" w:type="dxa"/>
            <w:vAlign w:val="center"/>
          </w:tcPr>
          <w:p w14:paraId="5E5402B2">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腹腔镜</w:t>
            </w:r>
          </w:p>
        </w:tc>
        <w:tc>
          <w:tcPr>
            <w:tcW w:w="708" w:type="dxa"/>
            <w:vAlign w:val="center"/>
          </w:tcPr>
          <w:p w14:paraId="57F855C8">
            <w:pPr>
              <w:spacing w:line="400" w:lineRule="exact"/>
              <w:jc w:val="center"/>
              <w:rPr>
                <w:rFonts w:ascii="Times New Roman" w:hAnsi="Times New Roman" w:eastAsia="仿宋_GB2312" w:cs="Times New Roman"/>
                <w:sz w:val="28"/>
                <w:szCs w:val="28"/>
              </w:rPr>
            </w:pPr>
          </w:p>
        </w:tc>
        <w:tc>
          <w:tcPr>
            <w:tcW w:w="709" w:type="dxa"/>
            <w:vAlign w:val="center"/>
          </w:tcPr>
          <w:p w14:paraId="6CFFC1CE">
            <w:pPr>
              <w:spacing w:line="400" w:lineRule="exact"/>
              <w:jc w:val="center"/>
              <w:rPr>
                <w:rFonts w:ascii="Times New Roman" w:hAnsi="Times New Roman" w:eastAsia="仿宋_GB2312" w:cs="Times New Roman"/>
                <w:sz w:val="28"/>
                <w:szCs w:val="28"/>
              </w:rPr>
            </w:pPr>
          </w:p>
        </w:tc>
        <w:tc>
          <w:tcPr>
            <w:tcW w:w="709" w:type="dxa"/>
            <w:vAlign w:val="center"/>
          </w:tcPr>
          <w:p w14:paraId="2ABAE81C">
            <w:pPr>
              <w:spacing w:line="400" w:lineRule="exact"/>
              <w:jc w:val="center"/>
              <w:rPr>
                <w:rFonts w:ascii="Times New Roman" w:hAnsi="Times New Roman" w:eastAsia="仿宋_GB2312" w:cs="Times New Roman"/>
                <w:sz w:val="28"/>
                <w:szCs w:val="28"/>
              </w:rPr>
            </w:pPr>
          </w:p>
        </w:tc>
        <w:tc>
          <w:tcPr>
            <w:tcW w:w="850" w:type="dxa"/>
            <w:vAlign w:val="center"/>
          </w:tcPr>
          <w:p w14:paraId="5F673FC7">
            <w:pPr>
              <w:spacing w:line="400" w:lineRule="exact"/>
              <w:jc w:val="center"/>
              <w:rPr>
                <w:rFonts w:ascii="Times New Roman" w:hAnsi="Times New Roman" w:eastAsia="仿宋_GB2312" w:cs="Times New Roman"/>
                <w:sz w:val="28"/>
                <w:szCs w:val="28"/>
              </w:rPr>
            </w:pPr>
          </w:p>
        </w:tc>
        <w:tc>
          <w:tcPr>
            <w:tcW w:w="851" w:type="dxa"/>
            <w:vAlign w:val="center"/>
          </w:tcPr>
          <w:p w14:paraId="1706ABAF">
            <w:pPr>
              <w:spacing w:line="400" w:lineRule="exact"/>
              <w:jc w:val="center"/>
              <w:rPr>
                <w:rFonts w:ascii="Times New Roman" w:hAnsi="Times New Roman" w:eastAsia="仿宋_GB2312" w:cs="Times New Roman"/>
                <w:sz w:val="28"/>
                <w:szCs w:val="28"/>
              </w:rPr>
            </w:pPr>
          </w:p>
        </w:tc>
        <w:tc>
          <w:tcPr>
            <w:tcW w:w="992" w:type="dxa"/>
            <w:vAlign w:val="center"/>
          </w:tcPr>
          <w:p w14:paraId="75F50BBF">
            <w:pPr>
              <w:spacing w:line="400" w:lineRule="exact"/>
              <w:jc w:val="center"/>
              <w:rPr>
                <w:rFonts w:ascii="Times New Roman" w:hAnsi="Times New Roman" w:eastAsia="仿宋_GB2312" w:cs="Times New Roman"/>
                <w:sz w:val="28"/>
                <w:szCs w:val="28"/>
              </w:rPr>
            </w:pPr>
          </w:p>
        </w:tc>
        <w:tc>
          <w:tcPr>
            <w:tcW w:w="851" w:type="dxa"/>
            <w:vAlign w:val="center"/>
          </w:tcPr>
          <w:p w14:paraId="54D0A0E9">
            <w:pPr>
              <w:spacing w:line="400" w:lineRule="exact"/>
              <w:jc w:val="center"/>
              <w:rPr>
                <w:rFonts w:ascii="Times New Roman" w:hAnsi="Times New Roman" w:eastAsia="仿宋_GB2312" w:cs="Times New Roman"/>
                <w:sz w:val="28"/>
                <w:szCs w:val="28"/>
              </w:rPr>
            </w:pPr>
          </w:p>
        </w:tc>
      </w:tr>
      <w:tr w14:paraId="2FB6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12EC1ECA">
            <w:pPr>
              <w:spacing w:line="400" w:lineRule="exact"/>
              <w:jc w:val="center"/>
              <w:rPr>
                <w:rFonts w:ascii="Times New Roman" w:hAnsi="Times New Roman" w:eastAsia="仿宋_GB2312" w:cs="Times New Roman"/>
                <w:sz w:val="28"/>
                <w:szCs w:val="28"/>
              </w:rPr>
            </w:pPr>
          </w:p>
        </w:tc>
        <w:tc>
          <w:tcPr>
            <w:tcW w:w="2644" w:type="dxa"/>
            <w:vAlign w:val="center"/>
          </w:tcPr>
          <w:p w14:paraId="0765D69F">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儿科</w:t>
            </w:r>
          </w:p>
        </w:tc>
        <w:tc>
          <w:tcPr>
            <w:tcW w:w="708" w:type="dxa"/>
            <w:vAlign w:val="center"/>
          </w:tcPr>
          <w:p w14:paraId="68E73DD1">
            <w:pPr>
              <w:spacing w:line="400" w:lineRule="exact"/>
              <w:jc w:val="center"/>
              <w:rPr>
                <w:rFonts w:ascii="Times New Roman" w:hAnsi="Times New Roman" w:eastAsia="仿宋_GB2312" w:cs="Times New Roman"/>
                <w:sz w:val="28"/>
                <w:szCs w:val="28"/>
              </w:rPr>
            </w:pPr>
          </w:p>
        </w:tc>
        <w:tc>
          <w:tcPr>
            <w:tcW w:w="709" w:type="dxa"/>
            <w:vAlign w:val="center"/>
          </w:tcPr>
          <w:p w14:paraId="0A3B73A4">
            <w:pPr>
              <w:spacing w:line="400" w:lineRule="exact"/>
              <w:jc w:val="center"/>
              <w:rPr>
                <w:rFonts w:ascii="Times New Roman" w:hAnsi="Times New Roman" w:eastAsia="仿宋_GB2312" w:cs="Times New Roman"/>
                <w:sz w:val="28"/>
                <w:szCs w:val="28"/>
              </w:rPr>
            </w:pPr>
          </w:p>
        </w:tc>
        <w:tc>
          <w:tcPr>
            <w:tcW w:w="709" w:type="dxa"/>
            <w:vAlign w:val="center"/>
          </w:tcPr>
          <w:p w14:paraId="25CFFF98">
            <w:pPr>
              <w:spacing w:line="400" w:lineRule="exact"/>
              <w:jc w:val="center"/>
              <w:rPr>
                <w:rFonts w:ascii="Times New Roman" w:hAnsi="Times New Roman" w:eastAsia="仿宋_GB2312" w:cs="Times New Roman"/>
                <w:sz w:val="28"/>
                <w:szCs w:val="28"/>
              </w:rPr>
            </w:pPr>
          </w:p>
        </w:tc>
        <w:tc>
          <w:tcPr>
            <w:tcW w:w="850" w:type="dxa"/>
            <w:vAlign w:val="center"/>
          </w:tcPr>
          <w:p w14:paraId="378D39B8">
            <w:pPr>
              <w:spacing w:line="400" w:lineRule="exact"/>
              <w:jc w:val="center"/>
              <w:rPr>
                <w:rFonts w:ascii="Times New Roman" w:hAnsi="Times New Roman" w:eastAsia="仿宋_GB2312" w:cs="Times New Roman"/>
                <w:sz w:val="28"/>
                <w:szCs w:val="28"/>
              </w:rPr>
            </w:pPr>
          </w:p>
        </w:tc>
        <w:tc>
          <w:tcPr>
            <w:tcW w:w="851" w:type="dxa"/>
            <w:vAlign w:val="center"/>
          </w:tcPr>
          <w:p w14:paraId="3FEC16F8">
            <w:pPr>
              <w:spacing w:line="400" w:lineRule="exact"/>
              <w:jc w:val="center"/>
              <w:rPr>
                <w:rFonts w:ascii="Times New Roman" w:hAnsi="Times New Roman" w:eastAsia="仿宋_GB2312" w:cs="Times New Roman"/>
                <w:sz w:val="28"/>
                <w:szCs w:val="28"/>
              </w:rPr>
            </w:pPr>
          </w:p>
        </w:tc>
        <w:tc>
          <w:tcPr>
            <w:tcW w:w="992" w:type="dxa"/>
            <w:vAlign w:val="center"/>
          </w:tcPr>
          <w:p w14:paraId="5F39FABD">
            <w:pPr>
              <w:spacing w:line="400" w:lineRule="exact"/>
              <w:jc w:val="center"/>
              <w:rPr>
                <w:rFonts w:ascii="Times New Roman" w:hAnsi="Times New Roman" w:eastAsia="仿宋_GB2312" w:cs="Times New Roman"/>
                <w:sz w:val="28"/>
                <w:szCs w:val="28"/>
              </w:rPr>
            </w:pPr>
          </w:p>
        </w:tc>
        <w:tc>
          <w:tcPr>
            <w:tcW w:w="851" w:type="dxa"/>
            <w:vAlign w:val="center"/>
          </w:tcPr>
          <w:p w14:paraId="4E550BE9">
            <w:pPr>
              <w:spacing w:line="400" w:lineRule="exact"/>
              <w:jc w:val="center"/>
              <w:rPr>
                <w:rFonts w:ascii="Times New Roman" w:hAnsi="Times New Roman" w:eastAsia="仿宋_GB2312" w:cs="Times New Roman"/>
                <w:sz w:val="28"/>
                <w:szCs w:val="28"/>
              </w:rPr>
            </w:pPr>
          </w:p>
        </w:tc>
      </w:tr>
      <w:tr w14:paraId="7D11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1330E9CE">
            <w:pPr>
              <w:spacing w:line="400" w:lineRule="exact"/>
              <w:jc w:val="center"/>
              <w:rPr>
                <w:rFonts w:ascii="Times New Roman" w:hAnsi="Times New Roman" w:eastAsia="仿宋_GB2312" w:cs="Times New Roman"/>
                <w:sz w:val="28"/>
                <w:szCs w:val="28"/>
              </w:rPr>
            </w:pPr>
          </w:p>
        </w:tc>
        <w:tc>
          <w:tcPr>
            <w:tcW w:w="2644" w:type="dxa"/>
            <w:vAlign w:val="center"/>
          </w:tcPr>
          <w:p w14:paraId="56864865">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小器官（指明）</w:t>
            </w:r>
          </w:p>
        </w:tc>
        <w:tc>
          <w:tcPr>
            <w:tcW w:w="708" w:type="dxa"/>
            <w:vAlign w:val="center"/>
          </w:tcPr>
          <w:p w14:paraId="78942C3F">
            <w:pPr>
              <w:spacing w:line="400" w:lineRule="exact"/>
              <w:jc w:val="center"/>
              <w:rPr>
                <w:rFonts w:ascii="Times New Roman" w:hAnsi="Times New Roman" w:eastAsia="仿宋_GB2312" w:cs="Times New Roman"/>
                <w:sz w:val="28"/>
                <w:szCs w:val="28"/>
              </w:rPr>
            </w:pPr>
          </w:p>
        </w:tc>
        <w:tc>
          <w:tcPr>
            <w:tcW w:w="709" w:type="dxa"/>
            <w:vAlign w:val="center"/>
          </w:tcPr>
          <w:p w14:paraId="677259C1">
            <w:pPr>
              <w:spacing w:line="400" w:lineRule="exact"/>
              <w:jc w:val="center"/>
              <w:rPr>
                <w:rFonts w:ascii="Times New Roman" w:hAnsi="Times New Roman" w:eastAsia="仿宋_GB2312" w:cs="Times New Roman"/>
                <w:sz w:val="28"/>
                <w:szCs w:val="28"/>
              </w:rPr>
            </w:pPr>
          </w:p>
        </w:tc>
        <w:tc>
          <w:tcPr>
            <w:tcW w:w="709" w:type="dxa"/>
            <w:vAlign w:val="center"/>
          </w:tcPr>
          <w:p w14:paraId="28EA3E78">
            <w:pPr>
              <w:spacing w:line="400" w:lineRule="exact"/>
              <w:jc w:val="center"/>
              <w:rPr>
                <w:rFonts w:ascii="Times New Roman" w:hAnsi="Times New Roman" w:eastAsia="仿宋_GB2312" w:cs="Times New Roman"/>
                <w:sz w:val="28"/>
                <w:szCs w:val="28"/>
              </w:rPr>
            </w:pPr>
          </w:p>
        </w:tc>
        <w:tc>
          <w:tcPr>
            <w:tcW w:w="850" w:type="dxa"/>
            <w:vAlign w:val="center"/>
          </w:tcPr>
          <w:p w14:paraId="3D6B5703">
            <w:pPr>
              <w:spacing w:line="400" w:lineRule="exact"/>
              <w:jc w:val="center"/>
              <w:rPr>
                <w:rFonts w:ascii="Times New Roman" w:hAnsi="Times New Roman" w:eastAsia="仿宋_GB2312" w:cs="Times New Roman"/>
                <w:sz w:val="28"/>
                <w:szCs w:val="28"/>
              </w:rPr>
            </w:pPr>
          </w:p>
        </w:tc>
        <w:tc>
          <w:tcPr>
            <w:tcW w:w="851" w:type="dxa"/>
            <w:vAlign w:val="center"/>
          </w:tcPr>
          <w:p w14:paraId="59F5EAA0">
            <w:pPr>
              <w:spacing w:line="400" w:lineRule="exact"/>
              <w:jc w:val="center"/>
              <w:rPr>
                <w:rFonts w:ascii="Times New Roman" w:hAnsi="Times New Roman" w:eastAsia="仿宋_GB2312" w:cs="Times New Roman"/>
                <w:sz w:val="28"/>
                <w:szCs w:val="28"/>
              </w:rPr>
            </w:pPr>
          </w:p>
        </w:tc>
        <w:tc>
          <w:tcPr>
            <w:tcW w:w="992" w:type="dxa"/>
            <w:vAlign w:val="center"/>
          </w:tcPr>
          <w:p w14:paraId="4A36E27A">
            <w:pPr>
              <w:spacing w:line="400" w:lineRule="exact"/>
              <w:jc w:val="center"/>
              <w:rPr>
                <w:rFonts w:ascii="Times New Roman" w:hAnsi="Times New Roman" w:eastAsia="仿宋_GB2312" w:cs="Times New Roman"/>
                <w:sz w:val="28"/>
                <w:szCs w:val="28"/>
              </w:rPr>
            </w:pPr>
          </w:p>
        </w:tc>
        <w:tc>
          <w:tcPr>
            <w:tcW w:w="851" w:type="dxa"/>
            <w:vAlign w:val="center"/>
          </w:tcPr>
          <w:p w14:paraId="369B40CE">
            <w:pPr>
              <w:spacing w:line="400" w:lineRule="exact"/>
              <w:jc w:val="center"/>
              <w:rPr>
                <w:rFonts w:ascii="Times New Roman" w:hAnsi="Times New Roman" w:eastAsia="仿宋_GB2312" w:cs="Times New Roman"/>
                <w:sz w:val="28"/>
                <w:szCs w:val="28"/>
              </w:rPr>
            </w:pPr>
          </w:p>
        </w:tc>
      </w:tr>
      <w:tr w14:paraId="6C50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35C5B34A">
            <w:pPr>
              <w:spacing w:line="400" w:lineRule="exact"/>
              <w:jc w:val="center"/>
              <w:rPr>
                <w:rFonts w:ascii="Times New Roman" w:hAnsi="Times New Roman" w:eastAsia="仿宋_GB2312" w:cs="Times New Roman"/>
                <w:sz w:val="28"/>
                <w:szCs w:val="28"/>
              </w:rPr>
            </w:pPr>
          </w:p>
        </w:tc>
        <w:tc>
          <w:tcPr>
            <w:tcW w:w="2644" w:type="dxa"/>
            <w:vAlign w:val="center"/>
          </w:tcPr>
          <w:p w14:paraId="7C7BDD0B">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新生儿头部</w:t>
            </w:r>
          </w:p>
        </w:tc>
        <w:tc>
          <w:tcPr>
            <w:tcW w:w="708" w:type="dxa"/>
            <w:vAlign w:val="center"/>
          </w:tcPr>
          <w:p w14:paraId="36DBF3EB">
            <w:pPr>
              <w:spacing w:line="400" w:lineRule="exact"/>
              <w:jc w:val="center"/>
              <w:rPr>
                <w:rFonts w:ascii="Times New Roman" w:hAnsi="Times New Roman" w:eastAsia="仿宋_GB2312" w:cs="Times New Roman"/>
                <w:sz w:val="28"/>
                <w:szCs w:val="28"/>
              </w:rPr>
            </w:pPr>
          </w:p>
        </w:tc>
        <w:tc>
          <w:tcPr>
            <w:tcW w:w="709" w:type="dxa"/>
            <w:vAlign w:val="center"/>
          </w:tcPr>
          <w:p w14:paraId="2F296134">
            <w:pPr>
              <w:spacing w:line="400" w:lineRule="exact"/>
              <w:jc w:val="center"/>
              <w:rPr>
                <w:rFonts w:ascii="Times New Roman" w:hAnsi="Times New Roman" w:eastAsia="仿宋_GB2312" w:cs="Times New Roman"/>
                <w:sz w:val="28"/>
                <w:szCs w:val="28"/>
              </w:rPr>
            </w:pPr>
          </w:p>
        </w:tc>
        <w:tc>
          <w:tcPr>
            <w:tcW w:w="709" w:type="dxa"/>
            <w:vAlign w:val="center"/>
          </w:tcPr>
          <w:p w14:paraId="6182D1C5">
            <w:pPr>
              <w:spacing w:line="400" w:lineRule="exact"/>
              <w:jc w:val="center"/>
              <w:rPr>
                <w:rFonts w:ascii="Times New Roman" w:hAnsi="Times New Roman" w:eastAsia="仿宋_GB2312" w:cs="Times New Roman"/>
                <w:sz w:val="28"/>
                <w:szCs w:val="28"/>
              </w:rPr>
            </w:pPr>
          </w:p>
        </w:tc>
        <w:tc>
          <w:tcPr>
            <w:tcW w:w="850" w:type="dxa"/>
            <w:vAlign w:val="center"/>
          </w:tcPr>
          <w:p w14:paraId="72B65026">
            <w:pPr>
              <w:spacing w:line="400" w:lineRule="exact"/>
              <w:jc w:val="center"/>
              <w:rPr>
                <w:rFonts w:ascii="Times New Roman" w:hAnsi="Times New Roman" w:eastAsia="仿宋_GB2312" w:cs="Times New Roman"/>
                <w:sz w:val="28"/>
                <w:szCs w:val="28"/>
              </w:rPr>
            </w:pPr>
          </w:p>
        </w:tc>
        <w:tc>
          <w:tcPr>
            <w:tcW w:w="851" w:type="dxa"/>
            <w:vAlign w:val="center"/>
          </w:tcPr>
          <w:p w14:paraId="572DBCFC">
            <w:pPr>
              <w:spacing w:line="400" w:lineRule="exact"/>
              <w:jc w:val="center"/>
              <w:rPr>
                <w:rFonts w:ascii="Times New Roman" w:hAnsi="Times New Roman" w:eastAsia="仿宋_GB2312" w:cs="Times New Roman"/>
                <w:sz w:val="28"/>
                <w:szCs w:val="28"/>
              </w:rPr>
            </w:pPr>
          </w:p>
        </w:tc>
        <w:tc>
          <w:tcPr>
            <w:tcW w:w="992" w:type="dxa"/>
            <w:vAlign w:val="center"/>
          </w:tcPr>
          <w:p w14:paraId="10B80111">
            <w:pPr>
              <w:spacing w:line="400" w:lineRule="exact"/>
              <w:jc w:val="center"/>
              <w:rPr>
                <w:rFonts w:ascii="Times New Roman" w:hAnsi="Times New Roman" w:eastAsia="仿宋_GB2312" w:cs="Times New Roman"/>
                <w:sz w:val="28"/>
                <w:szCs w:val="28"/>
              </w:rPr>
            </w:pPr>
          </w:p>
        </w:tc>
        <w:tc>
          <w:tcPr>
            <w:tcW w:w="851" w:type="dxa"/>
            <w:vAlign w:val="center"/>
          </w:tcPr>
          <w:p w14:paraId="7E0DA3C4">
            <w:pPr>
              <w:spacing w:line="400" w:lineRule="exact"/>
              <w:jc w:val="center"/>
              <w:rPr>
                <w:rFonts w:ascii="Times New Roman" w:hAnsi="Times New Roman" w:eastAsia="仿宋_GB2312" w:cs="Times New Roman"/>
                <w:sz w:val="28"/>
                <w:szCs w:val="28"/>
              </w:rPr>
            </w:pPr>
          </w:p>
        </w:tc>
      </w:tr>
      <w:tr w14:paraId="53E7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6AE622AE">
            <w:pPr>
              <w:spacing w:line="400" w:lineRule="exact"/>
              <w:jc w:val="center"/>
              <w:rPr>
                <w:rFonts w:ascii="Times New Roman" w:hAnsi="Times New Roman" w:eastAsia="仿宋_GB2312" w:cs="Times New Roman"/>
                <w:sz w:val="28"/>
                <w:szCs w:val="28"/>
              </w:rPr>
            </w:pPr>
          </w:p>
        </w:tc>
        <w:tc>
          <w:tcPr>
            <w:tcW w:w="2644" w:type="dxa"/>
            <w:vAlign w:val="center"/>
          </w:tcPr>
          <w:p w14:paraId="19CD661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成人头部</w:t>
            </w:r>
          </w:p>
        </w:tc>
        <w:tc>
          <w:tcPr>
            <w:tcW w:w="708" w:type="dxa"/>
            <w:vAlign w:val="center"/>
          </w:tcPr>
          <w:p w14:paraId="77D199ED">
            <w:pPr>
              <w:spacing w:line="400" w:lineRule="exact"/>
              <w:jc w:val="center"/>
              <w:rPr>
                <w:rFonts w:ascii="Times New Roman" w:hAnsi="Times New Roman" w:eastAsia="仿宋_GB2312" w:cs="Times New Roman"/>
                <w:sz w:val="28"/>
                <w:szCs w:val="28"/>
              </w:rPr>
            </w:pPr>
          </w:p>
        </w:tc>
        <w:tc>
          <w:tcPr>
            <w:tcW w:w="709" w:type="dxa"/>
            <w:vAlign w:val="center"/>
          </w:tcPr>
          <w:p w14:paraId="3F0B0DB0">
            <w:pPr>
              <w:spacing w:line="400" w:lineRule="exact"/>
              <w:jc w:val="center"/>
              <w:rPr>
                <w:rFonts w:ascii="Times New Roman" w:hAnsi="Times New Roman" w:eastAsia="仿宋_GB2312" w:cs="Times New Roman"/>
                <w:sz w:val="28"/>
                <w:szCs w:val="28"/>
              </w:rPr>
            </w:pPr>
          </w:p>
        </w:tc>
        <w:tc>
          <w:tcPr>
            <w:tcW w:w="709" w:type="dxa"/>
            <w:vAlign w:val="center"/>
          </w:tcPr>
          <w:p w14:paraId="2618E4B1">
            <w:pPr>
              <w:spacing w:line="400" w:lineRule="exact"/>
              <w:jc w:val="center"/>
              <w:rPr>
                <w:rFonts w:ascii="Times New Roman" w:hAnsi="Times New Roman" w:eastAsia="仿宋_GB2312" w:cs="Times New Roman"/>
                <w:sz w:val="28"/>
                <w:szCs w:val="28"/>
              </w:rPr>
            </w:pPr>
          </w:p>
        </w:tc>
        <w:tc>
          <w:tcPr>
            <w:tcW w:w="850" w:type="dxa"/>
            <w:vAlign w:val="center"/>
          </w:tcPr>
          <w:p w14:paraId="240A2648">
            <w:pPr>
              <w:spacing w:line="400" w:lineRule="exact"/>
              <w:jc w:val="center"/>
              <w:rPr>
                <w:rFonts w:ascii="Times New Roman" w:hAnsi="Times New Roman" w:eastAsia="仿宋_GB2312" w:cs="Times New Roman"/>
                <w:sz w:val="28"/>
                <w:szCs w:val="28"/>
              </w:rPr>
            </w:pPr>
          </w:p>
        </w:tc>
        <w:tc>
          <w:tcPr>
            <w:tcW w:w="851" w:type="dxa"/>
            <w:vAlign w:val="center"/>
          </w:tcPr>
          <w:p w14:paraId="346B52AD">
            <w:pPr>
              <w:spacing w:line="400" w:lineRule="exact"/>
              <w:jc w:val="center"/>
              <w:rPr>
                <w:rFonts w:ascii="Times New Roman" w:hAnsi="Times New Roman" w:eastAsia="仿宋_GB2312" w:cs="Times New Roman"/>
                <w:sz w:val="28"/>
                <w:szCs w:val="28"/>
              </w:rPr>
            </w:pPr>
          </w:p>
        </w:tc>
        <w:tc>
          <w:tcPr>
            <w:tcW w:w="992" w:type="dxa"/>
            <w:vAlign w:val="center"/>
          </w:tcPr>
          <w:p w14:paraId="144F8B5F">
            <w:pPr>
              <w:spacing w:line="400" w:lineRule="exact"/>
              <w:jc w:val="center"/>
              <w:rPr>
                <w:rFonts w:ascii="Times New Roman" w:hAnsi="Times New Roman" w:eastAsia="仿宋_GB2312" w:cs="Times New Roman"/>
                <w:sz w:val="28"/>
                <w:szCs w:val="28"/>
              </w:rPr>
            </w:pPr>
          </w:p>
        </w:tc>
        <w:tc>
          <w:tcPr>
            <w:tcW w:w="851" w:type="dxa"/>
            <w:vAlign w:val="center"/>
          </w:tcPr>
          <w:p w14:paraId="4AA26ACB">
            <w:pPr>
              <w:spacing w:line="400" w:lineRule="exact"/>
              <w:jc w:val="center"/>
              <w:rPr>
                <w:rFonts w:ascii="Times New Roman" w:hAnsi="Times New Roman" w:eastAsia="仿宋_GB2312" w:cs="Times New Roman"/>
                <w:sz w:val="28"/>
                <w:szCs w:val="28"/>
              </w:rPr>
            </w:pPr>
          </w:p>
        </w:tc>
      </w:tr>
      <w:tr w14:paraId="59B4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7BAA50A3">
            <w:pPr>
              <w:spacing w:line="400" w:lineRule="exact"/>
              <w:jc w:val="center"/>
              <w:rPr>
                <w:rFonts w:ascii="Times New Roman" w:hAnsi="Times New Roman" w:eastAsia="仿宋_GB2312" w:cs="Times New Roman"/>
                <w:sz w:val="28"/>
                <w:szCs w:val="28"/>
              </w:rPr>
            </w:pPr>
          </w:p>
        </w:tc>
        <w:tc>
          <w:tcPr>
            <w:tcW w:w="2644" w:type="dxa"/>
            <w:vAlign w:val="center"/>
          </w:tcPr>
          <w:p w14:paraId="4FE48330">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经直肠</w:t>
            </w:r>
          </w:p>
        </w:tc>
        <w:tc>
          <w:tcPr>
            <w:tcW w:w="708" w:type="dxa"/>
            <w:vAlign w:val="center"/>
          </w:tcPr>
          <w:p w14:paraId="0C899997">
            <w:pPr>
              <w:spacing w:line="400" w:lineRule="exact"/>
              <w:jc w:val="center"/>
              <w:rPr>
                <w:rFonts w:ascii="Times New Roman" w:hAnsi="Times New Roman" w:eastAsia="仿宋_GB2312" w:cs="Times New Roman"/>
                <w:sz w:val="28"/>
                <w:szCs w:val="28"/>
              </w:rPr>
            </w:pPr>
          </w:p>
        </w:tc>
        <w:tc>
          <w:tcPr>
            <w:tcW w:w="709" w:type="dxa"/>
            <w:vAlign w:val="center"/>
          </w:tcPr>
          <w:p w14:paraId="15D5DE78">
            <w:pPr>
              <w:spacing w:line="400" w:lineRule="exact"/>
              <w:jc w:val="center"/>
              <w:rPr>
                <w:rFonts w:ascii="Times New Roman" w:hAnsi="Times New Roman" w:eastAsia="仿宋_GB2312" w:cs="Times New Roman"/>
                <w:sz w:val="28"/>
                <w:szCs w:val="28"/>
              </w:rPr>
            </w:pPr>
          </w:p>
        </w:tc>
        <w:tc>
          <w:tcPr>
            <w:tcW w:w="709" w:type="dxa"/>
            <w:vAlign w:val="center"/>
          </w:tcPr>
          <w:p w14:paraId="48C4664E">
            <w:pPr>
              <w:spacing w:line="400" w:lineRule="exact"/>
              <w:jc w:val="center"/>
              <w:rPr>
                <w:rFonts w:ascii="Times New Roman" w:hAnsi="Times New Roman" w:eastAsia="仿宋_GB2312" w:cs="Times New Roman"/>
                <w:sz w:val="28"/>
                <w:szCs w:val="28"/>
              </w:rPr>
            </w:pPr>
          </w:p>
        </w:tc>
        <w:tc>
          <w:tcPr>
            <w:tcW w:w="850" w:type="dxa"/>
            <w:vAlign w:val="center"/>
          </w:tcPr>
          <w:p w14:paraId="31958778">
            <w:pPr>
              <w:spacing w:line="400" w:lineRule="exact"/>
              <w:jc w:val="center"/>
              <w:rPr>
                <w:rFonts w:ascii="Times New Roman" w:hAnsi="Times New Roman" w:eastAsia="仿宋_GB2312" w:cs="Times New Roman"/>
                <w:sz w:val="28"/>
                <w:szCs w:val="28"/>
              </w:rPr>
            </w:pPr>
          </w:p>
        </w:tc>
        <w:tc>
          <w:tcPr>
            <w:tcW w:w="851" w:type="dxa"/>
            <w:vAlign w:val="center"/>
          </w:tcPr>
          <w:p w14:paraId="507AC4DC">
            <w:pPr>
              <w:spacing w:line="400" w:lineRule="exact"/>
              <w:jc w:val="center"/>
              <w:rPr>
                <w:rFonts w:ascii="Times New Roman" w:hAnsi="Times New Roman" w:eastAsia="仿宋_GB2312" w:cs="Times New Roman"/>
                <w:sz w:val="28"/>
                <w:szCs w:val="28"/>
              </w:rPr>
            </w:pPr>
          </w:p>
        </w:tc>
        <w:tc>
          <w:tcPr>
            <w:tcW w:w="992" w:type="dxa"/>
            <w:vAlign w:val="center"/>
          </w:tcPr>
          <w:p w14:paraId="10DF0397">
            <w:pPr>
              <w:spacing w:line="400" w:lineRule="exact"/>
              <w:jc w:val="center"/>
              <w:rPr>
                <w:rFonts w:ascii="Times New Roman" w:hAnsi="Times New Roman" w:eastAsia="仿宋_GB2312" w:cs="Times New Roman"/>
                <w:sz w:val="28"/>
                <w:szCs w:val="28"/>
              </w:rPr>
            </w:pPr>
          </w:p>
        </w:tc>
        <w:tc>
          <w:tcPr>
            <w:tcW w:w="851" w:type="dxa"/>
            <w:vAlign w:val="center"/>
          </w:tcPr>
          <w:p w14:paraId="56997F43">
            <w:pPr>
              <w:spacing w:line="400" w:lineRule="exact"/>
              <w:jc w:val="center"/>
              <w:rPr>
                <w:rFonts w:ascii="Times New Roman" w:hAnsi="Times New Roman" w:eastAsia="仿宋_GB2312" w:cs="Times New Roman"/>
                <w:sz w:val="28"/>
                <w:szCs w:val="28"/>
              </w:rPr>
            </w:pPr>
          </w:p>
        </w:tc>
      </w:tr>
      <w:tr w14:paraId="7AC9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6B1C9A87">
            <w:pPr>
              <w:spacing w:line="400" w:lineRule="exact"/>
              <w:jc w:val="center"/>
              <w:rPr>
                <w:rFonts w:ascii="Times New Roman" w:hAnsi="Times New Roman" w:eastAsia="仿宋_GB2312" w:cs="Times New Roman"/>
                <w:sz w:val="28"/>
                <w:szCs w:val="28"/>
              </w:rPr>
            </w:pPr>
          </w:p>
        </w:tc>
        <w:tc>
          <w:tcPr>
            <w:tcW w:w="2644" w:type="dxa"/>
            <w:vAlign w:val="center"/>
          </w:tcPr>
          <w:p w14:paraId="43611232">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经阴道</w:t>
            </w:r>
          </w:p>
        </w:tc>
        <w:tc>
          <w:tcPr>
            <w:tcW w:w="708" w:type="dxa"/>
            <w:vAlign w:val="center"/>
          </w:tcPr>
          <w:p w14:paraId="7E03EA64">
            <w:pPr>
              <w:spacing w:line="400" w:lineRule="exact"/>
              <w:jc w:val="center"/>
              <w:rPr>
                <w:rFonts w:ascii="Times New Roman" w:hAnsi="Times New Roman" w:eastAsia="仿宋_GB2312" w:cs="Times New Roman"/>
                <w:sz w:val="28"/>
                <w:szCs w:val="28"/>
              </w:rPr>
            </w:pPr>
          </w:p>
        </w:tc>
        <w:tc>
          <w:tcPr>
            <w:tcW w:w="709" w:type="dxa"/>
            <w:vAlign w:val="center"/>
          </w:tcPr>
          <w:p w14:paraId="7744038C">
            <w:pPr>
              <w:spacing w:line="400" w:lineRule="exact"/>
              <w:jc w:val="center"/>
              <w:rPr>
                <w:rFonts w:ascii="Times New Roman" w:hAnsi="Times New Roman" w:eastAsia="仿宋_GB2312" w:cs="Times New Roman"/>
                <w:sz w:val="28"/>
                <w:szCs w:val="28"/>
              </w:rPr>
            </w:pPr>
          </w:p>
        </w:tc>
        <w:tc>
          <w:tcPr>
            <w:tcW w:w="709" w:type="dxa"/>
            <w:vAlign w:val="center"/>
          </w:tcPr>
          <w:p w14:paraId="07491091">
            <w:pPr>
              <w:spacing w:line="400" w:lineRule="exact"/>
              <w:jc w:val="center"/>
              <w:rPr>
                <w:rFonts w:ascii="Times New Roman" w:hAnsi="Times New Roman" w:eastAsia="仿宋_GB2312" w:cs="Times New Roman"/>
                <w:sz w:val="28"/>
                <w:szCs w:val="28"/>
              </w:rPr>
            </w:pPr>
          </w:p>
        </w:tc>
        <w:tc>
          <w:tcPr>
            <w:tcW w:w="850" w:type="dxa"/>
            <w:vAlign w:val="center"/>
          </w:tcPr>
          <w:p w14:paraId="190D4426">
            <w:pPr>
              <w:spacing w:line="400" w:lineRule="exact"/>
              <w:jc w:val="center"/>
              <w:rPr>
                <w:rFonts w:ascii="Times New Roman" w:hAnsi="Times New Roman" w:eastAsia="仿宋_GB2312" w:cs="Times New Roman"/>
                <w:sz w:val="28"/>
                <w:szCs w:val="28"/>
              </w:rPr>
            </w:pPr>
          </w:p>
        </w:tc>
        <w:tc>
          <w:tcPr>
            <w:tcW w:w="851" w:type="dxa"/>
            <w:vAlign w:val="center"/>
          </w:tcPr>
          <w:p w14:paraId="2CFC257F">
            <w:pPr>
              <w:spacing w:line="400" w:lineRule="exact"/>
              <w:jc w:val="center"/>
              <w:rPr>
                <w:rFonts w:ascii="Times New Roman" w:hAnsi="Times New Roman" w:eastAsia="仿宋_GB2312" w:cs="Times New Roman"/>
                <w:sz w:val="28"/>
                <w:szCs w:val="28"/>
              </w:rPr>
            </w:pPr>
          </w:p>
        </w:tc>
        <w:tc>
          <w:tcPr>
            <w:tcW w:w="992" w:type="dxa"/>
            <w:vAlign w:val="center"/>
          </w:tcPr>
          <w:p w14:paraId="60373BBF">
            <w:pPr>
              <w:spacing w:line="400" w:lineRule="exact"/>
              <w:jc w:val="center"/>
              <w:rPr>
                <w:rFonts w:ascii="Times New Roman" w:hAnsi="Times New Roman" w:eastAsia="仿宋_GB2312" w:cs="Times New Roman"/>
                <w:sz w:val="28"/>
                <w:szCs w:val="28"/>
              </w:rPr>
            </w:pPr>
          </w:p>
        </w:tc>
        <w:tc>
          <w:tcPr>
            <w:tcW w:w="851" w:type="dxa"/>
            <w:vAlign w:val="center"/>
          </w:tcPr>
          <w:p w14:paraId="41FBFA95">
            <w:pPr>
              <w:spacing w:line="400" w:lineRule="exact"/>
              <w:jc w:val="center"/>
              <w:rPr>
                <w:rFonts w:ascii="Times New Roman" w:hAnsi="Times New Roman" w:eastAsia="仿宋_GB2312" w:cs="Times New Roman"/>
                <w:sz w:val="28"/>
                <w:szCs w:val="28"/>
              </w:rPr>
            </w:pPr>
          </w:p>
        </w:tc>
      </w:tr>
      <w:tr w14:paraId="2502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0DBA0BA1">
            <w:pPr>
              <w:spacing w:line="400" w:lineRule="exact"/>
              <w:jc w:val="center"/>
              <w:rPr>
                <w:rFonts w:ascii="Times New Roman" w:hAnsi="Times New Roman" w:eastAsia="仿宋_GB2312" w:cs="Times New Roman"/>
                <w:sz w:val="28"/>
                <w:szCs w:val="28"/>
              </w:rPr>
            </w:pPr>
          </w:p>
        </w:tc>
        <w:tc>
          <w:tcPr>
            <w:tcW w:w="2644" w:type="dxa"/>
            <w:vAlign w:val="center"/>
          </w:tcPr>
          <w:p w14:paraId="355CD690">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经尿道</w:t>
            </w:r>
          </w:p>
        </w:tc>
        <w:tc>
          <w:tcPr>
            <w:tcW w:w="708" w:type="dxa"/>
            <w:vAlign w:val="center"/>
          </w:tcPr>
          <w:p w14:paraId="45A01932">
            <w:pPr>
              <w:spacing w:line="400" w:lineRule="exact"/>
              <w:jc w:val="center"/>
              <w:rPr>
                <w:rFonts w:ascii="Times New Roman" w:hAnsi="Times New Roman" w:eastAsia="仿宋_GB2312" w:cs="Times New Roman"/>
                <w:sz w:val="28"/>
                <w:szCs w:val="28"/>
              </w:rPr>
            </w:pPr>
          </w:p>
        </w:tc>
        <w:tc>
          <w:tcPr>
            <w:tcW w:w="709" w:type="dxa"/>
            <w:vAlign w:val="center"/>
          </w:tcPr>
          <w:p w14:paraId="29F36690">
            <w:pPr>
              <w:spacing w:line="400" w:lineRule="exact"/>
              <w:jc w:val="center"/>
              <w:rPr>
                <w:rFonts w:ascii="Times New Roman" w:hAnsi="Times New Roman" w:eastAsia="仿宋_GB2312" w:cs="Times New Roman"/>
                <w:sz w:val="28"/>
                <w:szCs w:val="28"/>
              </w:rPr>
            </w:pPr>
          </w:p>
        </w:tc>
        <w:tc>
          <w:tcPr>
            <w:tcW w:w="709" w:type="dxa"/>
            <w:vAlign w:val="center"/>
          </w:tcPr>
          <w:p w14:paraId="79B25C27">
            <w:pPr>
              <w:spacing w:line="400" w:lineRule="exact"/>
              <w:jc w:val="center"/>
              <w:rPr>
                <w:rFonts w:ascii="Times New Roman" w:hAnsi="Times New Roman" w:eastAsia="仿宋_GB2312" w:cs="Times New Roman"/>
                <w:sz w:val="28"/>
                <w:szCs w:val="28"/>
              </w:rPr>
            </w:pPr>
          </w:p>
        </w:tc>
        <w:tc>
          <w:tcPr>
            <w:tcW w:w="850" w:type="dxa"/>
            <w:vAlign w:val="center"/>
          </w:tcPr>
          <w:p w14:paraId="4A864D10">
            <w:pPr>
              <w:spacing w:line="400" w:lineRule="exact"/>
              <w:jc w:val="center"/>
              <w:rPr>
                <w:rFonts w:ascii="Times New Roman" w:hAnsi="Times New Roman" w:eastAsia="仿宋_GB2312" w:cs="Times New Roman"/>
                <w:sz w:val="28"/>
                <w:szCs w:val="28"/>
              </w:rPr>
            </w:pPr>
          </w:p>
        </w:tc>
        <w:tc>
          <w:tcPr>
            <w:tcW w:w="851" w:type="dxa"/>
            <w:vAlign w:val="center"/>
          </w:tcPr>
          <w:p w14:paraId="1D473342">
            <w:pPr>
              <w:spacing w:line="400" w:lineRule="exact"/>
              <w:jc w:val="center"/>
              <w:rPr>
                <w:rFonts w:ascii="Times New Roman" w:hAnsi="Times New Roman" w:eastAsia="仿宋_GB2312" w:cs="Times New Roman"/>
                <w:sz w:val="28"/>
                <w:szCs w:val="28"/>
              </w:rPr>
            </w:pPr>
          </w:p>
        </w:tc>
        <w:tc>
          <w:tcPr>
            <w:tcW w:w="992" w:type="dxa"/>
            <w:vAlign w:val="center"/>
          </w:tcPr>
          <w:p w14:paraId="4F8639A7">
            <w:pPr>
              <w:spacing w:line="400" w:lineRule="exact"/>
              <w:jc w:val="center"/>
              <w:rPr>
                <w:rFonts w:ascii="Times New Roman" w:hAnsi="Times New Roman" w:eastAsia="仿宋_GB2312" w:cs="Times New Roman"/>
                <w:sz w:val="28"/>
                <w:szCs w:val="28"/>
              </w:rPr>
            </w:pPr>
          </w:p>
        </w:tc>
        <w:tc>
          <w:tcPr>
            <w:tcW w:w="851" w:type="dxa"/>
            <w:vAlign w:val="center"/>
          </w:tcPr>
          <w:p w14:paraId="6B5E8ADD">
            <w:pPr>
              <w:spacing w:line="400" w:lineRule="exact"/>
              <w:jc w:val="center"/>
              <w:rPr>
                <w:rFonts w:ascii="Times New Roman" w:hAnsi="Times New Roman" w:eastAsia="仿宋_GB2312" w:cs="Times New Roman"/>
                <w:sz w:val="28"/>
                <w:szCs w:val="28"/>
              </w:rPr>
            </w:pPr>
          </w:p>
        </w:tc>
      </w:tr>
      <w:tr w14:paraId="457C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62682D78">
            <w:pPr>
              <w:spacing w:line="400" w:lineRule="exact"/>
              <w:jc w:val="center"/>
              <w:rPr>
                <w:rFonts w:ascii="Times New Roman" w:hAnsi="Times New Roman" w:eastAsia="仿宋_GB2312" w:cs="Times New Roman"/>
                <w:sz w:val="28"/>
                <w:szCs w:val="28"/>
              </w:rPr>
            </w:pPr>
          </w:p>
        </w:tc>
        <w:tc>
          <w:tcPr>
            <w:tcW w:w="2644" w:type="dxa"/>
            <w:vAlign w:val="center"/>
          </w:tcPr>
          <w:p w14:paraId="51A53A58">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经食道（非心脏）</w:t>
            </w:r>
          </w:p>
        </w:tc>
        <w:tc>
          <w:tcPr>
            <w:tcW w:w="708" w:type="dxa"/>
            <w:vAlign w:val="center"/>
          </w:tcPr>
          <w:p w14:paraId="4ABC356F">
            <w:pPr>
              <w:spacing w:line="400" w:lineRule="exact"/>
              <w:jc w:val="center"/>
              <w:rPr>
                <w:rFonts w:ascii="Times New Roman" w:hAnsi="Times New Roman" w:eastAsia="仿宋_GB2312" w:cs="Times New Roman"/>
                <w:sz w:val="28"/>
                <w:szCs w:val="28"/>
              </w:rPr>
            </w:pPr>
          </w:p>
        </w:tc>
        <w:tc>
          <w:tcPr>
            <w:tcW w:w="709" w:type="dxa"/>
            <w:vAlign w:val="center"/>
          </w:tcPr>
          <w:p w14:paraId="315AB9A5">
            <w:pPr>
              <w:spacing w:line="400" w:lineRule="exact"/>
              <w:jc w:val="center"/>
              <w:rPr>
                <w:rFonts w:ascii="Times New Roman" w:hAnsi="Times New Roman" w:eastAsia="仿宋_GB2312" w:cs="Times New Roman"/>
                <w:sz w:val="28"/>
                <w:szCs w:val="28"/>
              </w:rPr>
            </w:pPr>
          </w:p>
        </w:tc>
        <w:tc>
          <w:tcPr>
            <w:tcW w:w="709" w:type="dxa"/>
            <w:vAlign w:val="center"/>
          </w:tcPr>
          <w:p w14:paraId="0090AC03">
            <w:pPr>
              <w:spacing w:line="400" w:lineRule="exact"/>
              <w:jc w:val="center"/>
              <w:rPr>
                <w:rFonts w:ascii="Times New Roman" w:hAnsi="Times New Roman" w:eastAsia="仿宋_GB2312" w:cs="Times New Roman"/>
                <w:sz w:val="28"/>
                <w:szCs w:val="28"/>
              </w:rPr>
            </w:pPr>
          </w:p>
        </w:tc>
        <w:tc>
          <w:tcPr>
            <w:tcW w:w="850" w:type="dxa"/>
            <w:vAlign w:val="center"/>
          </w:tcPr>
          <w:p w14:paraId="4923A3FD">
            <w:pPr>
              <w:spacing w:line="400" w:lineRule="exact"/>
              <w:jc w:val="center"/>
              <w:rPr>
                <w:rFonts w:ascii="Times New Roman" w:hAnsi="Times New Roman" w:eastAsia="仿宋_GB2312" w:cs="Times New Roman"/>
                <w:sz w:val="28"/>
                <w:szCs w:val="28"/>
              </w:rPr>
            </w:pPr>
          </w:p>
        </w:tc>
        <w:tc>
          <w:tcPr>
            <w:tcW w:w="851" w:type="dxa"/>
            <w:vAlign w:val="center"/>
          </w:tcPr>
          <w:p w14:paraId="775703E3">
            <w:pPr>
              <w:spacing w:line="400" w:lineRule="exact"/>
              <w:jc w:val="center"/>
              <w:rPr>
                <w:rFonts w:ascii="Times New Roman" w:hAnsi="Times New Roman" w:eastAsia="仿宋_GB2312" w:cs="Times New Roman"/>
                <w:sz w:val="28"/>
                <w:szCs w:val="28"/>
              </w:rPr>
            </w:pPr>
          </w:p>
        </w:tc>
        <w:tc>
          <w:tcPr>
            <w:tcW w:w="992" w:type="dxa"/>
            <w:vAlign w:val="center"/>
          </w:tcPr>
          <w:p w14:paraId="603D251B">
            <w:pPr>
              <w:spacing w:line="400" w:lineRule="exact"/>
              <w:jc w:val="center"/>
              <w:rPr>
                <w:rFonts w:ascii="Times New Roman" w:hAnsi="Times New Roman" w:eastAsia="仿宋_GB2312" w:cs="Times New Roman"/>
                <w:sz w:val="28"/>
                <w:szCs w:val="28"/>
              </w:rPr>
            </w:pPr>
          </w:p>
        </w:tc>
        <w:tc>
          <w:tcPr>
            <w:tcW w:w="851" w:type="dxa"/>
            <w:vAlign w:val="center"/>
          </w:tcPr>
          <w:p w14:paraId="24C57093">
            <w:pPr>
              <w:spacing w:line="400" w:lineRule="exact"/>
              <w:jc w:val="center"/>
              <w:rPr>
                <w:rFonts w:ascii="Times New Roman" w:hAnsi="Times New Roman" w:eastAsia="仿宋_GB2312" w:cs="Times New Roman"/>
                <w:sz w:val="28"/>
                <w:szCs w:val="28"/>
              </w:rPr>
            </w:pPr>
          </w:p>
        </w:tc>
      </w:tr>
      <w:tr w14:paraId="06E6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54C34161">
            <w:pPr>
              <w:spacing w:line="400" w:lineRule="exact"/>
              <w:jc w:val="center"/>
              <w:rPr>
                <w:rFonts w:ascii="Times New Roman" w:hAnsi="Times New Roman" w:eastAsia="仿宋_GB2312" w:cs="Times New Roman"/>
                <w:sz w:val="28"/>
                <w:szCs w:val="28"/>
              </w:rPr>
            </w:pPr>
          </w:p>
        </w:tc>
        <w:tc>
          <w:tcPr>
            <w:tcW w:w="2644" w:type="dxa"/>
            <w:vAlign w:val="center"/>
          </w:tcPr>
          <w:p w14:paraId="61B002FF">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肌肉-骨骼（传统的）</w:t>
            </w:r>
          </w:p>
        </w:tc>
        <w:tc>
          <w:tcPr>
            <w:tcW w:w="708" w:type="dxa"/>
            <w:vAlign w:val="center"/>
          </w:tcPr>
          <w:p w14:paraId="386FEBE5">
            <w:pPr>
              <w:spacing w:line="400" w:lineRule="exact"/>
              <w:jc w:val="center"/>
              <w:rPr>
                <w:rFonts w:ascii="Times New Roman" w:hAnsi="Times New Roman" w:eastAsia="仿宋_GB2312" w:cs="Times New Roman"/>
                <w:sz w:val="28"/>
                <w:szCs w:val="28"/>
              </w:rPr>
            </w:pPr>
          </w:p>
        </w:tc>
        <w:tc>
          <w:tcPr>
            <w:tcW w:w="709" w:type="dxa"/>
            <w:vAlign w:val="center"/>
          </w:tcPr>
          <w:p w14:paraId="38B98250">
            <w:pPr>
              <w:spacing w:line="400" w:lineRule="exact"/>
              <w:jc w:val="center"/>
              <w:rPr>
                <w:rFonts w:ascii="Times New Roman" w:hAnsi="Times New Roman" w:eastAsia="仿宋_GB2312" w:cs="Times New Roman"/>
                <w:sz w:val="28"/>
                <w:szCs w:val="28"/>
              </w:rPr>
            </w:pPr>
          </w:p>
        </w:tc>
        <w:tc>
          <w:tcPr>
            <w:tcW w:w="709" w:type="dxa"/>
            <w:vAlign w:val="center"/>
          </w:tcPr>
          <w:p w14:paraId="3FC913E6">
            <w:pPr>
              <w:spacing w:line="400" w:lineRule="exact"/>
              <w:jc w:val="center"/>
              <w:rPr>
                <w:rFonts w:ascii="Times New Roman" w:hAnsi="Times New Roman" w:eastAsia="仿宋_GB2312" w:cs="Times New Roman"/>
                <w:sz w:val="28"/>
                <w:szCs w:val="28"/>
              </w:rPr>
            </w:pPr>
          </w:p>
        </w:tc>
        <w:tc>
          <w:tcPr>
            <w:tcW w:w="850" w:type="dxa"/>
            <w:vAlign w:val="center"/>
          </w:tcPr>
          <w:p w14:paraId="200D3A6B">
            <w:pPr>
              <w:spacing w:line="400" w:lineRule="exact"/>
              <w:jc w:val="center"/>
              <w:rPr>
                <w:rFonts w:ascii="Times New Roman" w:hAnsi="Times New Roman" w:eastAsia="仿宋_GB2312" w:cs="Times New Roman"/>
                <w:sz w:val="28"/>
                <w:szCs w:val="28"/>
              </w:rPr>
            </w:pPr>
          </w:p>
        </w:tc>
        <w:tc>
          <w:tcPr>
            <w:tcW w:w="851" w:type="dxa"/>
            <w:vAlign w:val="center"/>
          </w:tcPr>
          <w:p w14:paraId="3686E8DF">
            <w:pPr>
              <w:spacing w:line="400" w:lineRule="exact"/>
              <w:jc w:val="center"/>
              <w:rPr>
                <w:rFonts w:ascii="Times New Roman" w:hAnsi="Times New Roman" w:eastAsia="仿宋_GB2312" w:cs="Times New Roman"/>
                <w:sz w:val="28"/>
                <w:szCs w:val="28"/>
              </w:rPr>
            </w:pPr>
          </w:p>
        </w:tc>
        <w:tc>
          <w:tcPr>
            <w:tcW w:w="992" w:type="dxa"/>
            <w:vAlign w:val="center"/>
          </w:tcPr>
          <w:p w14:paraId="70A09038">
            <w:pPr>
              <w:spacing w:line="400" w:lineRule="exact"/>
              <w:jc w:val="center"/>
              <w:rPr>
                <w:rFonts w:ascii="Times New Roman" w:hAnsi="Times New Roman" w:eastAsia="仿宋_GB2312" w:cs="Times New Roman"/>
                <w:sz w:val="28"/>
                <w:szCs w:val="28"/>
              </w:rPr>
            </w:pPr>
          </w:p>
        </w:tc>
        <w:tc>
          <w:tcPr>
            <w:tcW w:w="851" w:type="dxa"/>
            <w:vAlign w:val="center"/>
          </w:tcPr>
          <w:p w14:paraId="5AC9B30C">
            <w:pPr>
              <w:spacing w:line="400" w:lineRule="exact"/>
              <w:jc w:val="center"/>
              <w:rPr>
                <w:rFonts w:ascii="Times New Roman" w:hAnsi="Times New Roman" w:eastAsia="仿宋_GB2312" w:cs="Times New Roman"/>
                <w:sz w:val="28"/>
                <w:szCs w:val="28"/>
              </w:rPr>
            </w:pPr>
          </w:p>
        </w:tc>
      </w:tr>
      <w:tr w14:paraId="3647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5B7544DA">
            <w:pPr>
              <w:spacing w:line="400" w:lineRule="exact"/>
              <w:jc w:val="center"/>
              <w:rPr>
                <w:rFonts w:ascii="Times New Roman" w:hAnsi="Times New Roman" w:eastAsia="仿宋_GB2312" w:cs="Times New Roman"/>
                <w:sz w:val="28"/>
                <w:szCs w:val="28"/>
              </w:rPr>
            </w:pPr>
          </w:p>
        </w:tc>
        <w:tc>
          <w:tcPr>
            <w:tcW w:w="2644" w:type="dxa"/>
            <w:vAlign w:val="center"/>
          </w:tcPr>
          <w:p w14:paraId="3CDF482C">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肌肉-骨骼（表皮上）</w:t>
            </w:r>
          </w:p>
        </w:tc>
        <w:tc>
          <w:tcPr>
            <w:tcW w:w="708" w:type="dxa"/>
            <w:vAlign w:val="center"/>
          </w:tcPr>
          <w:p w14:paraId="5CE085D1">
            <w:pPr>
              <w:spacing w:line="400" w:lineRule="exact"/>
              <w:jc w:val="center"/>
              <w:rPr>
                <w:rFonts w:ascii="Times New Roman" w:hAnsi="Times New Roman" w:eastAsia="仿宋_GB2312" w:cs="Times New Roman"/>
                <w:sz w:val="28"/>
                <w:szCs w:val="28"/>
              </w:rPr>
            </w:pPr>
          </w:p>
        </w:tc>
        <w:tc>
          <w:tcPr>
            <w:tcW w:w="709" w:type="dxa"/>
            <w:vAlign w:val="center"/>
          </w:tcPr>
          <w:p w14:paraId="2C7A87DB">
            <w:pPr>
              <w:spacing w:line="400" w:lineRule="exact"/>
              <w:jc w:val="center"/>
              <w:rPr>
                <w:rFonts w:ascii="Times New Roman" w:hAnsi="Times New Roman" w:eastAsia="仿宋_GB2312" w:cs="Times New Roman"/>
                <w:sz w:val="28"/>
                <w:szCs w:val="28"/>
              </w:rPr>
            </w:pPr>
          </w:p>
        </w:tc>
        <w:tc>
          <w:tcPr>
            <w:tcW w:w="709" w:type="dxa"/>
            <w:vAlign w:val="center"/>
          </w:tcPr>
          <w:p w14:paraId="73BAA9BB">
            <w:pPr>
              <w:spacing w:line="400" w:lineRule="exact"/>
              <w:jc w:val="center"/>
              <w:rPr>
                <w:rFonts w:ascii="Times New Roman" w:hAnsi="Times New Roman" w:eastAsia="仿宋_GB2312" w:cs="Times New Roman"/>
                <w:sz w:val="28"/>
                <w:szCs w:val="28"/>
              </w:rPr>
            </w:pPr>
          </w:p>
        </w:tc>
        <w:tc>
          <w:tcPr>
            <w:tcW w:w="850" w:type="dxa"/>
            <w:vAlign w:val="center"/>
          </w:tcPr>
          <w:p w14:paraId="5B0E6E95">
            <w:pPr>
              <w:spacing w:line="400" w:lineRule="exact"/>
              <w:jc w:val="center"/>
              <w:rPr>
                <w:rFonts w:ascii="Times New Roman" w:hAnsi="Times New Roman" w:eastAsia="仿宋_GB2312" w:cs="Times New Roman"/>
                <w:sz w:val="28"/>
                <w:szCs w:val="28"/>
              </w:rPr>
            </w:pPr>
          </w:p>
        </w:tc>
        <w:tc>
          <w:tcPr>
            <w:tcW w:w="851" w:type="dxa"/>
            <w:vAlign w:val="center"/>
          </w:tcPr>
          <w:p w14:paraId="53B52983">
            <w:pPr>
              <w:spacing w:line="400" w:lineRule="exact"/>
              <w:jc w:val="center"/>
              <w:rPr>
                <w:rFonts w:ascii="Times New Roman" w:hAnsi="Times New Roman" w:eastAsia="仿宋_GB2312" w:cs="Times New Roman"/>
                <w:sz w:val="28"/>
                <w:szCs w:val="28"/>
              </w:rPr>
            </w:pPr>
          </w:p>
        </w:tc>
        <w:tc>
          <w:tcPr>
            <w:tcW w:w="992" w:type="dxa"/>
            <w:vAlign w:val="center"/>
          </w:tcPr>
          <w:p w14:paraId="68066931">
            <w:pPr>
              <w:spacing w:line="400" w:lineRule="exact"/>
              <w:jc w:val="center"/>
              <w:rPr>
                <w:rFonts w:ascii="Times New Roman" w:hAnsi="Times New Roman" w:eastAsia="仿宋_GB2312" w:cs="Times New Roman"/>
                <w:sz w:val="28"/>
                <w:szCs w:val="28"/>
              </w:rPr>
            </w:pPr>
          </w:p>
        </w:tc>
        <w:tc>
          <w:tcPr>
            <w:tcW w:w="851" w:type="dxa"/>
            <w:vAlign w:val="center"/>
          </w:tcPr>
          <w:p w14:paraId="58FE7E80">
            <w:pPr>
              <w:spacing w:line="400" w:lineRule="exact"/>
              <w:jc w:val="center"/>
              <w:rPr>
                <w:rFonts w:ascii="Times New Roman" w:hAnsi="Times New Roman" w:eastAsia="仿宋_GB2312" w:cs="Times New Roman"/>
                <w:sz w:val="28"/>
                <w:szCs w:val="28"/>
              </w:rPr>
            </w:pPr>
          </w:p>
        </w:tc>
      </w:tr>
      <w:tr w14:paraId="69B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7E2DB578">
            <w:pPr>
              <w:spacing w:line="400" w:lineRule="exact"/>
              <w:jc w:val="center"/>
              <w:rPr>
                <w:rFonts w:ascii="Times New Roman" w:hAnsi="Times New Roman" w:eastAsia="仿宋_GB2312" w:cs="Times New Roman"/>
                <w:sz w:val="28"/>
                <w:szCs w:val="28"/>
              </w:rPr>
            </w:pPr>
          </w:p>
        </w:tc>
        <w:tc>
          <w:tcPr>
            <w:tcW w:w="2644" w:type="dxa"/>
            <w:vAlign w:val="center"/>
          </w:tcPr>
          <w:p w14:paraId="3A97B8AD">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血管内</w:t>
            </w:r>
          </w:p>
        </w:tc>
        <w:tc>
          <w:tcPr>
            <w:tcW w:w="708" w:type="dxa"/>
            <w:vAlign w:val="center"/>
          </w:tcPr>
          <w:p w14:paraId="699496E4">
            <w:pPr>
              <w:spacing w:line="400" w:lineRule="exact"/>
              <w:jc w:val="center"/>
              <w:rPr>
                <w:rFonts w:ascii="Times New Roman" w:hAnsi="Times New Roman" w:eastAsia="仿宋_GB2312" w:cs="Times New Roman"/>
                <w:sz w:val="28"/>
                <w:szCs w:val="28"/>
              </w:rPr>
            </w:pPr>
          </w:p>
        </w:tc>
        <w:tc>
          <w:tcPr>
            <w:tcW w:w="709" w:type="dxa"/>
            <w:vAlign w:val="center"/>
          </w:tcPr>
          <w:p w14:paraId="046DA510">
            <w:pPr>
              <w:spacing w:line="400" w:lineRule="exact"/>
              <w:jc w:val="center"/>
              <w:rPr>
                <w:rFonts w:ascii="Times New Roman" w:hAnsi="Times New Roman" w:eastAsia="仿宋_GB2312" w:cs="Times New Roman"/>
                <w:sz w:val="28"/>
                <w:szCs w:val="28"/>
              </w:rPr>
            </w:pPr>
          </w:p>
        </w:tc>
        <w:tc>
          <w:tcPr>
            <w:tcW w:w="709" w:type="dxa"/>
            <w:vAlign w:val="center"/>
          </w:tcPr>
          <w:p w14:paraId="7D62106E">
            <w:pPr>
              <w:spacing w:line="400" w:lineRule="exact"/>
              <w:jc w:val="center"/>
              <w:rPr>
                <w:rFonts w:ascii="Times New Roman" w:hAnsi="Times New Roman" w:eastAsia="仿宋_GB2312" w:cs="Times New Roman"/>
                <w:sz w:val="28"/>
                <w:szCs w:val="28"/>
              </w:rPr>
            </w:pPr>
          </w:p>
        </w:tc>
        <w:tc>
          <w:tcPr>
            <w:tcW w:w="850" w:type="dxa"/>
            <w:vAlign w:val="center"/>
          </w:tcPr>
          <w:p w14:paraId="361D3FF3">
            <w:pPr>
              <w:spacing w:line="400" w:lineRule="exact"/>
              <w:jc w:val="center"/>
              <w:rPr>
                <w:rFonts w:ascii="Times New Roman" w:hAnsi="Times New Roman" w:eastAsia="仿宋_GB2312" w:cs="Times New Roman"/>
                <w:sz w:val="28"/>
                <w:szCs w:val="28"/>
              </w:rPr>
            </w:pPr>
          </w:p>
        </w:tc>
        <w:tc>
          <w:tcPr>
            <w:tcW w:w="851" w:type="dxa"/>
            <w:vAlign w:val="center"/>
          </w:tcPr>
          <w:p w14:paraId="1B2B2E03">
            <w:pPr>
              <w:spacing w:line="400" w:lineRule="exact"/>
              <w:jc w:val="center"/>
              <w:rPr>
                <w:rFonts w:ascii="Times New Roman" w:hAnsi="Times New Roman" w:eastAsia="仿宋_GB2312" w:cs="Times New Roman"/>
                <w:sz w:val="28"/>
                <w:szCs w:val="28"/>
              </w:rPr>
            </w:pPr>
          </w:p>
        </w:tc>
        <w:tc>
          <w:tcPr>
            <w:tcW w:w="992" w:type="dxa"/>
            <w:vAlign w:val="center"/>
          </w:tcPr>
          <w:p w14:paraId="6290EFAC">
            <w:pPr>
              <w:spacing w:line="400" w:lineRule="exact"/>
              <w:jc w:val="center"/>
              <w:rPr>
                <w:rFonts w:ascii="Times New Roman" w:hAnsi="Times New Roman" w:eastAsia="仿宋_GB2312" w:cs="Times New Roman"/>
                <w:sz w:val="28"/>
                <w:szCs w:val="28"/>
              </w:rPr>
            </w:pPr>
          </w:p>
        </w:tc>
        <w:tc>
          <w:tcPr>
            <w:tcW w:w="851" w:type="dxa"/>
            <w:vAlign w:val="center"/>
          </w:tcPr>
          <w:p w14:paraId="6D47775E">
            <w:pPr>
              <w:spacing w:line="400" w:lineRule="exact"/>
              <w:jc w:val="center"/>
              <w:rPr>
                <w:rFonts w:ascii="Times New Roman" w:hAnsi="Times New Roman" w:eastAsia="仿宋_GB2312" w:cs="Times New Roman"/>
                <w:sz w:val="28"/>
                <w:szCs w:val="28"/>
              </w:rPr>
            </w:pPr>
          </w:p>
        </w:tc>
      </w:tr>
      <w:tr w14:paraId="74AF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4FD9B623">
            <w:pPr>
              <w:spacing w:line="400" w:lineRule="exact"/>
              <w:jc w:val="center"/>
              <w:rPr>
                <w:rFonts w:ascii="Times New Roman" w:hAnsi="Times New Roman" w:eastAsia="仿宋_GB2312" w:cs="Times New Roman"/>
                <w:sz w:val="28"/>
                <w:szCs w:val="28"/>
              </w:rPr>
            </w:pPr>
          </w:p>
        </w:tc>
        <w:tc>
          <w:tcPr>
            <w:tcW w:w="2644" w:type="dxa"/>
            <w:vAlign w:val="center"/>
          </w:tcPr>
          <w:p w14:paraId="6E2D3F2B">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其他（指明）</w:t>
            </w:r>
          </w:p>
        </w:tc>
        <w:tc>
          <w:tcPr>
            <w:tcW w:w="708" w:type="dxa"/>
            <w:vAlign w:val="center"/>
          </w:tcPr>
          <w:p w14:paraId="58DD4862">
            <w:pPr>
              <w:spacing w:line="400" w:lineRule="exact"/>
              <w:jc w:val="center"/>
              <w:rPr>
                <w:rFonts w:ascii="Times New Roman" w:hAnsi="Times New Roman" w:eastAsia="仿宋_GB2312" w:cs="Times New Roman"/>
                <w:sz w:val="28"/>
                <w:szCs w:val="28"/>
              </w:rPr>
            </w:pPr>
          </w:p>
        </w:tc>
        <w:tc>
          <w:tcPr>
            <w:tcW w:w="709" w:type="dxa"/>
            <w:vAlign w:val="center"/>
          </w:tcPr>
          <w:p w14:paraId="3C2EC9DE">
            <w:pPr>
              <w:spacing w:line="400" w:lineRule="exact"/>
              <w:jc w:val="center"/>
              <w:rPr>
                <w:rFonts w:ascii="Times New Roman" w:hAnsi="Times New Roman" w:eastAsia="仿宋_GB2312" w:cs="Times New Roman"/>
                <w:sz w:val="28"/>
                <w:szCs w:val="28"/>
              </w:rPr>
            </w:pPr>
          </w:p>
        </w:tc>
        <w:tc>
          <w:tcPr>
            <w:tcW w:w="709" w:type="dxa"/>
            <w:vAlign w:val="center"/>
          </w:tcPr>
          <w:p w14:paraId="6A03238F">
            <w:pPr>
              <w:spacing w:line="400" w:lineRule="exact"/>
              <w:jc w:val="center"/>
              <w:rPr>
                <w:rFonts w:ascii="Times New Roman" w:hAnsi="Times New Roman" w:eastAsia="仿宋_GB2312" w:cs="Times New Roman"/>
                <w:sz w:val="28"/>
                <w:szCs w:val="28"/>
              </w:rPr>
            </w:pPr>
          </w:p>
        </w:tc>
        <w:tc>
          <w:tcPr>
            <w:tcW w:w="850" w:type="dxa"/>
            <w:vAlign w:val="center"/>
          </w:tcPr>
          <w:p w14:paraId="157823F5">
            <w:pPr>
              <w:spacing w:line="400" w:lineRule="exact"/>
              <w:jc w:val="center"/>
              <w:rPr>
                <w:rFonts w:ascii="Times New Roman" w:hAnsi="Times New Roman" w:eastAsia="仿宋_GB2312" w:cs="Times New Roman"/>
                <w:sz w:val="28"/>
                <w:szCs w:val="28"/>
              </w:rPr>
            </w:pPr>
          </w:p>
        </w:tc>
        <w:tc>
          <w:tcPr>
            <w:tcW w:w="851" w:type="dxa"/>
            <w:vAlign w:val="center"/>
          </w:tcPr>
          <w:p w14:paraId="3D081CE9">
            <w:pPr>
              <w:spacing w:line="400" w:lineRule="exact"/>
              <w:jc w:val="center"/>
              <w:rPr>
                <w:rFonts w:ascii="Times New Roman" w:hAnsi="Times New Roman" w:eastAsia="仿宋_GB2312" w:cs="Times New Roman"/>
                <w:sz w:val="28"/>
                <w:szCs w:val="28"/>
              </w:rPr>
            </w:pPr>
          </w:p>
        </w:tc>
        <w:tc>
          <w:tcPr>
            <w:tcW w:w="992" w:type="dxa"/>
            <w:vAlign w:val="center"/>
          </w:tcPr>
          <w:p w14:paraId="7B49E53E">
            <w:pPr>
              <w:spacing w:line="400" w:lineRule="exact"/>
              <w:jc w:val="center"/>
              <w:rPr>
                <w:rFonts w:ascii="Times New Roman" w:hAnsi="Times New Roman" w:eastAsia="仿宋_GB2312" w:cs="Times New Roman"/>
                <w:sz w:val="28"/>
                <w:szCs w:val="28"/>
              </w:rPr>
            </w:pPr>
          </w:p>
        </w:tc>
        <w:tc>
          <w:tcPr>
            <w:tcW w:w="851" w:type="dxa"/>
            <w:vAlign w:val="center"/>
          </w:tcPr>
          <w:p w14:paraId="5CEC6A1E">
            <w:pPr>
              <w:spacing w:line="400" w:lineRule="exact"/>
              <w:jc w:val="center"/>
              <w:rPr>
                <w:rFonts w:ascii="Times New Roman" w:hAnsi="Times New Roman" w:eastAsia="仿宋_GB2312" w:cs="Times New Roman"/>
                <w:sz w:val="28"/>
                <w:szCs w:val="28"/>
              </w:rPr>
            </w:pPr>
          </w:p>
        </w:tc>
      </w:tr>
      <w:tr w14:paraId="4B11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restart"/>
            <w:vAlign w:val="center"/>
          </w:tcPr>
          <w:p w14:paraId="19FCCF9C">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心脏</w:t>
            </w:r>
          </w:p>
        </w:tc>
        <w:tc>
          <w:tcPr>
            <w:tcW w:w="2644" w:type="dxa"/>
            <w:vAlign w:val="center"/>
          </w:tcPr>
          <w:p w14:paraId="12B556BC">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成人心脏</w:t>
            </w:r>
          </w:p>
        </w:tc>
        <w:tc>
          <w:tcPr>
            <w:tcW w:w="708" w:type="dxa"/>
            <w:vAlign w:val="center"/>
          </w:tcPr>
          <w:p w14:paraId="51CD3393">
            <w:pPr>
              <w:spacing w:line="400" w:lineRule="exact"/>
              <w:jc w:val="center"/>
              <w:rPr>
                <w:rFonts w:ascii="Times New Roman" w:hAnsi="Times New Roman" w:eastAsia="仿宋_GB2312" w:cs="Times New Roman"/>
                <w:sz w:val="28"/>
                <w:szCs w:val="28"/>
              </w:rPr>
            </w:pPr>
          </w:p>
        </w:tc>
        <w:tc>
          <w:tcPr>
            <w:tcW w:w="709" w:type="dxa"/>
            <w:vAlign w:val="center"/>
          </w:tcPr>
          <w:p w14:paraId="484080F8">
            <w:pPr>
              <w:spacing w:line="400" w:lineRule="exact"/>
              <w:jc w:val="center"/>
              <w:rPr>
                <w:rFonts w:ascii="Times New Roman" w:hAnsi="Times New Roman" w:eastAsia="仿宋_GB2312" w:cs="Times New Roman"/>
                <w:sz w:val="28"/>
                <w:szCs w:val="28"/>
              </w:rPr>
            </w:pPr>
          </w:p>
        </w:tc>
        <w:tc>
          <w:tcPr>
            <w:tcW w:w="709" w:type="dxa"/>
            <w:vAlign w:val="center"/>
          </w:tcPr>
          <w:p w14:paraId="6DA07984">
            <w:pPr>
              <w:spacing w:line="400" w:lineRule="exact"/>
              <w:jc w:val="center"/>
              <w:rPr>
                <w:rFonts w:ascii="Times New Roman" w:hAnsi="Times New Roman" w:eastAsia="仿宋_GB2312" w:cs="Times New Roman"/>
                <w:sz w:val="28"/>
                <w:szCs w:val="28"/>
              </w:rPr>
            </w:pPr>
          </w:p>
        </w:tc>
        <w:tc>
          <w:tcPr>
            <w:tcW w:w="850" w:type="dxa"/>
            <w:vAlign w:val="center"/>
          </w:tcPr>
          <w:p w14:paraId="4062AB79">
            <w:pPr>
              <w:spacing w:line="400" w:lineRule="exact"/>
              <w:jc w:val="center"/>
              <w:rPr>
                <w:rFonts w:ascii="Times New Roman" w:hAnsi="Times New Roman" w:eastAsia="仿宋_GB2312" w:cs="Times New Roman"/>
                <w:sz w:val="28"/>
                <w:szCs w:val="28"/>
              </w:rPr>
            </w:pPr>
          </w:p>
        </w:tc>
        <w:tc>
          <w:tcPr>
            <w:tcW w:w="851" w:type="dxa"/>
            <w:vAlign w:val="center"/>
          </w:tcPr>
          <w:p w14:paraId="245917CD">
            <w:pPr>
              <w:spacing w:line="400" w:lineRule="exact"/>
              <w:jc w:val="center"/>
              <w:rPr>
                <w:rFonts w:ascii="Times New Roman" w:hAnsi="Times New Roman" w:eastAsia="仿宋_GB2312" w:cs="Times New Roman"/>
                <w:sz w:val="28"/>
                <w:szCs w:val="28"/>
              </w:rPr>
            </w:pPr>
          </w:p>
        </w:tc>
        <w:tc>
          <w:tcPr>
            <w:tcW w:w="992" w:type="dxa"/>
            <w:vAlign w:val="center"/>
          </w:tcPr>
          <w:p w14:paraId="08F2DAF5">
            <w:pPr>
              <w:spacing w:line="400" w:lineRule="exact"/>
              <w:jc w:val="center"/>
              <w:rPr>
                <w:rFonts w:ascii="Times New Roman" w:hAnsi="Times New Roman" w:eastAsia="仿宋_GB2312" w:cs="Times New Roman"/>
                <w:sz w:val="28"/>
                <w:szCs w:val="28"/>
              </w:rPr>
            </w:pPr>
          </w:p>
        </w:tc>
        <w:tc>
          <w:tcPr>
            <w:tcW w:w="851" w:type="dxa"/>
            <w:vAlign w:val="center"/>
          </w:tcPr>
          <w:p w14:paraId="67C6A76B">
            <w:pPr>
              <w:spacing w:line="400" w:lineRule="exact"/>
              <w:jc w:val="center"/>
              <w:rPr>
                <w:rFonts w:ascii="Times New Roman" w:hAnsi="Times New Roman" w:eastAsia="仿宋_GB2312" w:cs="Times New Roman"/>
                <w:sz w:val="28"/>
                <w:szCs w:val="28"/>
              </w:rPr>
            </w:pPr>
          </w:p>
        </w:tc>
      </w:tr>
      <w:tr w14:paraId="1D4D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7D399C7B">
            <w:pPr>
              <w:spacing w:line="400" w:lineRule="exact"/>
              <w:jc w:val="center"/>
              <w:rPr>
                <w:rFonts w:ascii="Times New Roman" w:hAnsi="Times New Roman" w:eastAsia="仿宋_GB2312" w:cs="Times New Roman"/>
                <w:sz w:val="28"/>
                <w:szCs w:val="28"/>
              </w:rPr>
            </w:pPr>
          </w:p>
        </w:tc>
        <w:tc>
          <w:tcPr>
            <w:tcW w:w="2644" w:type="dxa"/>
            <w:vAlign w:val="center"/>
          </w:tcPr>
          <w:p w14:paraId="26351F9C">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小儿心脏</w:t>
            </w:r>
          </w:p>
        </w:tc>
        <w:tc>
          <w:tcPr>
            <w:tcW w:w="708" w:type="dxa"/>
            <w:vAlign w:val="center"/>
          </w:tcPr>
          <w:p w14:paraId="5F0A6023">
            <w:pPr>
              <w:spacing w:line="400" w:lineRule="exact"/>
              <w:jc w:val="center"/>
              <w:rPr>
                <w:rFonts w:ascii="Times New Roman" w:hAnsi="Times New Roman" w:eastAsia="仿宋_GB2312" w:cs="Times New Roman"/>
                <w:sz w:val="28"/>
                <w:szCs w:val="28"/>
              </w:rPr>
            </w:pPr>
          </w:p>
        </w:tc>
        <w:tc>
          <w:tcPr>
            <w:tcW w:w="709" w:type="dxa"/>
            <w:vAlign w:val="center"/>
          </w:tcPr>
          <w:p w14:paraId="2C170EF5">
            <w:pPr>
              <w:spacing w:line="400" w:lineRule="exact"/>
              <w:jc w:val="center"/>
              <w:rPr>
                <w:rFonts w:ascii="Times New Roman" w:hAnsi="Times New Roman" w:eastAsia="仿宋_GB2312" w:cs="Times New Roman"/>
                <w:sz w:val="28"/>
                <w:szCs w:val="28"/>
              </w:rPr>
            </w:pPr>
          </w:p>
        </w:tc>
        <w:tc>
          <w:tcPr>
            <w:tcW w:w="709" w:type="dxa"/>
            <w:vAlign w:val="center"/>
          </w:tcPr>
          <w:p w14:paraId="0BA5AA98">
            <w:pPr>
              <w:spacing w:line="400" w:lineRule="exact"/>
              <w:jc w:val="center"/>
              <w:rPr>
                <w:rFonts w:ascii="Times New Roman" w:hAnsi="Times New Roman" w:eastAsia="仿宋_GB2312" w:cs="Times New Roman"/>
                <w:sz w:val="28"/>
                <w:szCs w:val="28"/>
              </w:rPr>
            </w:pPr>
          </w:p>
        </w:tc>
        <w:tc>
          <w:tcPr>
            <w:tcW w:w="850" w:type="dxa"/>
            <w:vAlign w:val="center"/>
          </w:tcPr>
          <w:p w14:paraId="6D8E37AC">
            <w:pPr>
              <w:spacing w:line="400" w:lineRule="exact"/>
              <w:jc w:val="center"/>
              <w:rPr>
                <w:rFonts w:ascii="Times New Roman" w:hAnsi="Times New Roman" w:eastAsia="仿宋_GB2312" w:cs="Times New Roman"/>
                <w:sz w:val="28"/>
                <w:szCs w:val="28"/>
              </w:rPr>
            </w:pPr>
          </w:p>
        </w:tc>
        <w:tc>
          <w:tcPr>
            <w:tcW w:w="851" w:type="dxa"/>
            <w:vAlign w:val="center"/>
          </w:tcPr>
          <w:p w14:paraId="03FAB301">
            <w:pPr>
              <w:spacing w:line="400" w:lineRule="exact"/>
              <w:jc w:val="center"/>
              <w:rPr>
                <w:rFonts w:ascii="Times New Roman" w:hAnsi="Times New Roman" w:eastAsia="仿宋_GB2312" w:cs="Times New Roman"/>
                <w:sz w:val="28"/>
                <w:szCs w:val="28"/>
              </w:rPr>
            </w:pPr>
          </w:p>
        </w:tc>
        <w:tc>
          <w:tcPr>
            <w:tcW w:w="992" w:type="dxa"/>
            <w:vAlign w:val="center"/>
          </w:tcPr>
          <w:p w14:paraId="43B1E808">
            <w:pPr>
              <w:spacing w:line="400" w:lineRule="exact"/>
              <w:jc w:val="center"/>
              <w:rPr>
                <w:rFonts w:ascii="Times New Roman" w:hAnsi="Times New Roman" w:eastAsia="仿宋_GB2312" w:cs="Times New Roman"/>
                <w:sz w:val="28"/>
                <w:szCs w:val="28"/>
              </w:rPr>
            </w:pPr>
          </w:p>
        </w:tc>
        <w:tc>
          <w:tcPr>
            <w:tcW w:w="851" w:type="dxa"/>
            <w:vAlign w:val="center"/>
          </w:tcPr>
          <w:p w14:paraId="1B1F5D5D">
            <w:pPr>
              <w:spacing w:line="400" w:lineRule="exact"/>
              <w:jc w:val="center"/>
              <w:rPr>
                <w:rFonts w:ascii="Times New Roman" w:hAnsi="Times New Roman" w:eastAsia="仿宋_GB2312" w:cs="Times New Roman"/>
                <w:sz w:val="28"/>
                <w:szCs w:val="28"/>
              </w:rPr>
            </w:pPr>
          </w:p>
        </w:tc>
      </w:tr>
      <w:tr w14:paraId="63E6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4221AB44">
            <w:pPr>
              <w:spacing w:line="400" w:lineRule="exact"/>
              <w:jc w:val="center"/>
              <w:rPr>
                <w:rFonts w:ascii="Times New Roman" w:hAnsi="Times New Roman" w:eastAsia="仿宋_GB2312" w:cs="Times New Roman"/>
                <w:sz w:val="28"/>
                <w:szCs w:val="28"/>
              </w:rPr>
            </w:pPr>
          </w:p>
        </w:tc>
        <w:tc>
          <w:tcPr>
            <w:tcW w:w="2644" w:type="dxa"/>
            <w:vAlign w:val="center"/>
          </w:tcPr>
          <w:p w14:paraId="20B422A7">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血管内（心脏）</w:t>
            </w:r>
          </w:p>
        </w:tc>
        <w:tc>
          <w:tcPr>
            <w:tcW w:w="708" w:type="dxa"/>
            <w:vAlign w:val="center"/>
          </w:tcPr>
          <w:p w14:paraId="39A21711">
            <w:pPr>
              <w:spacing w:line="400" w:lineRule="exact"/>
              <w:jc w:val="center"/>
              <w:rPr>
                <w:rFonts w:ascii="Times New Roman" w:hAnsi="Times New Roman" w:eastAsia="仿宋_GB2312" w:cs="Times New Roman"/>
                <w:sz w:val="28"/>
                <w:szCs w:val="28"/>
              </w:rPr>
            </w:pPr>
          </w:p>
        </w:tc>
        <w:tc>
          <w:tcPr>
            <w:tcW w:w="709" w:type="dxa"/>
            <w:vAlign w:val="center"/>
          </w:tcPr>
          <w:p w14:paraId="1A5BBC12">
            <w:pPr>
              <w:spacing w:line="400" w:lineRule="exact"/>
              <w:jc w:val="center"/>
              <w:rPr>
                <w:rFonts w:ascii="Times New Roman" w:hAnsi="Times New Roman" w:eastAsia="仿宋_GB2312" w:cs="Times New Roman"/>
                <w:sz w:val="28"/>
                <w:szCs w:val="28"/>
              </w:rPr>
            </w:pPr>
          </w:p>
        </w:tc>
        <w:tc>
          <w:tcPr>
            <w:tcW w:w="709" w:type="dxa"/>
            <w:vAlign w:val="center"/>
          </w:tcPr>
          <w:p w14:paraId="4C4AD0A9">
            <w:pPr>
              <w:spacing w:line="400" w:lineRule="exact"/>
              <w:jc w:val="center"/>
              <w:rPr>
                <w:rFonts w:ascii="Times New Roman" w:hAnsi="Times New Roman" w:eastAsia="仿宋_GB2312" w:cs="Times New Roman"/>
                <w:sz w:val="28"/>
                <w:szCs w:val="28"/>
              </w:rPr>
            </w:pPr>
          </w:p>
        </w:tc>
        <w:tc>
          <w:tcPr>
            <w:tcW w:w="850" w:type="dxa"/>
            <w:vAlign w:val="center"/>
          </w:tcPr>
          <w:p w14:paraId="6D33C03A">
            <w:pPr>
              <w:spacing w:line="400" w:lineRule="exact"/>
              <w:jc w:val="center"/>
              <w:rPr>
                <w:rFonts w:ascii="Times New Roman" w:hAnsi="Times New Roman" w:eastAsia="仿宋_GB2312" w:cs="Times New Roman"/>
                <w:sz w:val="28"/>
                <w:szCs w:val="28"/>
              </w:rPr>
            </w:pPr>
          </w:p>
        </w:tc>
        <w:tc>
          <w:tcPr>
            <w:tcW w:w="851" w:type="dxa"/>
            <w:vAlign w:val="center"/>
          </w:tcPr>
          <w:p w14:paraId="7562734B">
            <w:pPr>
              <w:spacing w:line="400" w:lineRule="exact"/>
              <w:jc w:val="center"/>
              <w:rPr>
                <w:rFonts w:ascii="Times New Roman" w:hAnsi="Times New Roman" w:eastAsia="仿宋_GB2312" w:cs="Times New Roman"/>
                <w:sz w:val="28"/>
                <w:szCs w:val="28"/>
              </w:rPr>
            </w:pPr>
          </w:p>
        </w:tc>
        <w:tc>
          <w:tcPr>
            <w:tcW w:w="992" w:type="dxa"/>
            <w:vAlign w:val="center"/>
          </w:tcPr>
          <w:p w14:paraId="5CEDF8C2">
            <w:pPr>
              <w:spacing w:line="400" w:lineRule="exact"/>
              <w:jc w:val="center"/>
              <w:rPr>
                <w:rFonts w:ascii="Times New Roman" w:hAnsi="Times New Roman" w:eastAsia="仿宋_GB2312" w:cs="Times New Roman"/>
                <w:sz w:val="28"/>
                <w:szCs w:val="28"/>
              </w:rPr>
            </w:pPr>
          </w:p>
        </w:tc>
        <w:tc>
          <w:tcPr>
            <w:tcW w:w="851" w:type="dxa"/>
            <w:vAlign w:val="center"/>
          </w:tcPr>
          <w:p w14:paraId="306D15B3">
            <w:pPr>
              <w:spacing w:line="400" w:lineRule="exact"/>
              <w:jc w:val="center"/>
              <w:rPr>
                <w:rFonts w:ascii="Times New Roman" w:hAnsi="Times New Roman" w:eastAsia="仿宋_GB2312" w:cs="Times New Roman"/>
                <w:sz w:val="28"/>
                <w:szCs w:val="28"/>
              </w:rPr>
            </w:pPr>
          </w:p>
        </w:tc>
      </w:tr>
      <w:tr w14:paraId="3567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14DBB41C">
            <w:pPr>
              <w:spacing w:line="400" w:lineRule="exact"/>
              <w:jc w:val="center"/>
              <w:rPr>
                <w:rFonts w:ascii="Times New Roman" w:hAnsi="Times New Roman" w:eastAsia="仿宋_GB2312" w:cs="Times New Roman"/>
                <w:sz w:val="28"/>
                <w:szCs w:val="28"/>
              </w:rPr>
            </w:pPr>
          </w:p>
        </w:tc>
        <w:tc>
          <w:tcPr>
            <w:tcW w:w="2644" w:type="dxa"/>
            <w:vAlign w:val="center"/>
          </w:tcPr>
          <w:p w14:paraId="4B994839">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经食道（心脏）</w:t>
            </w:r>
          </w:p>
        </w:tc>
        <w:tc>
          <w:tcPr>
            <w:tcW w:w="708" w:type="dxa"/>
            <w:vAlign w:val="center"/>
          </w:tcPr>
          <w:p w14:paraId="5274996F">
            <w:pPr>
              <w:spacing w:line="400" w:lineRule="exact"/>
              <w:jc w:val="center"/>
              <w:rPr>
                <w:rFonts w:ascii="Times New Roman" w:hAnsi="Times New Roman" w:eastAsia="仿宋_GB2312" w:cs="Times New Roman"/>
                <w:sz w:val="28"/>
                <w:szCs w:val="28"/>
              </w:rPr>
            </w:pPr>
          </w:p>
        </w:tc>
        <w:tc>
          <w:tcPr>
            <w:tcW w:w="709" w:type="dxa"/>
            <w:vAlign w:val="center"/>
          </w:tcPr>
          <w:p w14:paraId="5E2F1249">
            <w:pPr>
              <w:spacing w:line="400" w:lineRule="exact"/>
              <w:jc w:val="center"/>
              <w:rPr>
                <w:rFonts w:ascii="Times New Roman" w:hAnsi="Times New Roman" w:eastAsia="仿宋_GB2312" w:cs="Times New Roman"/>
                <w:sz w:val="28"/>
                <w:szCs w:val="28"/>
              </w:rPr>
            </w:pPr>
          </w:p>
        </w:tc>
        <w:tc>
          <w:tcPr>
            <w:tcW w:w="709" w:type="dxa"/>
            <w:vAlign w:val="center"/>
          </w:tcPr>
          <w:p w14:paraId="4EDD67FD">
            <w:pPr>
              <w:spacing w:line="400" w:lineRule="exact"/>
              <w:jc w:val="center"/>
              <w:rPr>
                <w:rFonts w:ascii="Times New Roman" w:hAnsi="Times New Roman" w:eastAsia="仿宋_GB2312" w:cs="Times New Roman"/>
                <w:sz w:val="28"/>
                <w:szCs w:val="28"/>
              </w:rPr>
            </w:pPr>
          </w:p>
        </w:tc>
        <w:tc>
          <w:tcPr>
            <w:tcW w:w="850" w:type="dxa"/>
            <w:vAlign w:val="center"/>
          </w:tcPr>
          <w:p w14:paraId="1EEB3D36">
            <w:pPr>
              <w:spacing w:line="400" w:lineRule="exact"/>
              <w:jc w:val="center"/>
              <w:rPr>
                <w:rFonts w:ascii="Times New Roman" w:hAnsi="Times New Roman" w:eastAsia="仿宋_GB2312" w:cs="Times New Roman"/>
                <w:sz w:val="28"/>
                <w:szCs w:val="28"/>
              </w:rPr>
            </w:pPr>
          </w:p>
        </w:tc>
        <w:tc>
          <w:tcPr>
            <w:tcW w:w="851" w:type="dxa"/>
            <w:vAlign w:val="center"/>
          </w:tcPr>
          <w:p w14:paraId="41981476">
            <w:pPr>
              <w:spacing w:line="400" w:lineRule="exact"/>
              <w:jc w:val="center"/>
              <w:rPr>
                <w:rFonts w:ascii="Times New Roman" w:hAnsi="Times New Roman" w:eastAsia="仿宋_GB2312" w:cs="Times New Roman"/>
                <w:sz w:val="28"/>
                <w:szCs w:val="28"/>
              </w:rPr>
            </w:pPr>
          </w:p>
        </w:tc>
        <w:tc>
          <w:tcPr>
            <w:tcW w:w="992" w:type="dxa"/>
            <w:vAlign w:val="center"/>
          </w:tcPr>
          <w:p w14:paraId="0255D687">
            <w:pPr>
              <w:spacing w:line="400" w:lineRule="exact"/>
              <w:jc w:val="center"/>
              <w:rPr>
                <w:rFonts w:ascii="Times New Roman" w:hAnsi="Times New Roman" w:eastAsia="仿宋_GB2312" w:cs="Times New Roman"/>
                <w:sz w:val="28"/>
                <w:szCs w:val="28"/>
              </w:rPr>
            </w:pPr>
          </w:p>
        </w:tc>
        <w:tc>
          <w:tcPr>
            <w:tcW w:w="851" w:type="dxa"/>
            <w:vAlign w:val="center"/>
          </w:tcPr>
          <w:p w14:paraId="32139C7C">
            <w:pPr>
              <w:spacing w:line="400" w:lineRule="exact"/>
              <w:jc w:val="center"/>
              <w:rPr>
                <w:rFonts w:ascii="Times New Roman" w:hAnsi="Times New Roman" w:eastAsia="仿宋_GB2312" w:cs="Times New Roman"/>
                <w:sz w:val="28"/>
                <w:szCs w:val="28"/>
              </w:rPr>
            </w:pPr>
          </w:p>
        </w:tc>
      </w:tr>
      <w:tr w14:paraId="1197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4F03C4B3">
            <w:pPr>
              <w:spacing w:line="400" w:lineRule="exact"/>
              <w:jc w:val="center"/>
              <w:rPr>
                <w:rFonts w:ascii="Times New Roman" w:hAnsi="Times New Roman" w:eastAsia="仿宋_GB2312" w:cs="Times New Roman"/>
                <w:sz w:val="28"/>
                <w:szCs w:val="28"/>
              </w:rPr>
            </w:pPr>
          </w:p>
        </w:tc>
        <w:tc>
          <w:tcPr>
            <w:tcW w:w="2644" w:type="dxa"/>
            <w:vAlign w:val="center"/>
          </w:tcPr>
          <w:p w14:paraId="5E9DEF1A">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心脏内</w:t>
            </w:r>
          </w:p>
        </w:tc>
        <w:tc>
          <w:tcPr>
            <w:tcW w:w="708" w:type="dxa"/>
            <w:vAlign w:val="center"/>
          </w:tcPr>
          <w:p w14:paraId="6BEA9DBF">
            <w:pPr>
              <w:spacing w:line="400" w:lineRule="exact"/>
              <w:jc w:val="center"/>
              <w:rPr>
                <w:rFonts w:ascii="Times New Roman" w:hAnsi="Times New Roman" w:eastAsia="仿宋_GB2312" w:cs="Times New Roman"/>
                <w:sz w:val="28"/>
                <w:szCs w:val="28"/>
              </w:rPr>
            </w:pPr>
          </w:p>
        </w:tc>
        <w:tc>
          <w:tcPr>
            <w:tcW w:w="709" w:type="dxa"/>
            <w:vAlign w:val="center"/>
          </w:tcPr>
          <w:p w14:paraId="22B29868">
            <w:pPr>
              <w:spacing w:line="400" w:lineRule="exact"/>
              <w:jc w:val="center"/>
              <w:rPr>
                <w:rFonts w:ascii="Times New Roman" w:hAnsi="Times New Roman" w:eastAsia="仿宋_GB2312" w:cs="Times New Roman"/>
                <w:sz w:val="28"/>
                <w:szCs w:val="28"/>
              </w:rPr>
            </w:pPr>
          </w:p>
        </w:tc>
        <w:tc>
          <w:tcPr>
            <w:tcW w:w="709" w:type="dxa"/>
            <w:vAlign w:val="center"/>
          </w:tcPr>
          <w:p w14:paraId="388D968A">
            <w:pPr>
              <w:spacing w:line="400" w:lineRule="exact"/>
              <w:jc w:val="center"/>
              <w:rPr>
                <w:rFonts w:ascii="Times New Roman" w:hAnsi="Times New Roman" w:eastAsia="仿宋_GB2312" w:cs="Times New Roman"/>
                <w:sz w:val="28"/>
                <w:szCs w:val="28"/>
              </w:rPr>
            </w:pPr>
          </w:p>
        </w:tc>
        <w:tc>
          <w:tcPr>
            <w:tcW w:w="850" w:type="dxa"/>
            <w:vAlign w:val="center"/>
          </w:tcPr>
          <w:p w14:paraId="2AD4EDEC">
            <w:pPr>
              <w:spacing w:line="400" w:lineRule="exact"/>
              <w:jc w:val="center"/>
              <w:rPr>
                <w:rFonts w:ascii="Times New Roman" w:hAnsi="Times New Roman" w:eastAsia="仿宋_GB2312" w:cs="Times New Roman"/>
                <w:sz w:val="28"/>
                <w:szCs w:val="28"/>
              </w:rPr>
            </w:pPr>
          </w:p>
        </w:tc>
        <w:tc>
          <w:tcPr>
            <w:tcW w:w="851" w:type="dxa"/>
            <w:vAlign w:val="center"/>
          </w:tcPr>
          <w:p w14:paraId="45B83CA4">
            <w:pPr>
              <w:spacing w:line="400" w:lineRule="exact"/>
              <w:jc w:val="center"/>
              <w:rPr>
                <w:rFonts w:ascii="Times New Roman" w:hAnsi="Times New Roman" w:eastAsia="仿宋_GB2312" w:cs="Times New Roman"/>
                <w:sz w:val="28"/>
                <w:szCs w:val="28"/>
              </w:rPr>
            </w:pPr>
          </w:p>
        </w:tc>
        <w:tc>
          <w:tcPr>
            <w:tcW w:w="992" w:type="dxa"/>
            <w:vAlign w:val="center"/>
          </w:tcPr>
          <w:p w14:paraId="47FB4B7A">
            <w:pPr>
              <w:spacing w:line="400" w:lineRule="exact"/>
              <w:jc w:val="center"/>
              <w:rPr>
                <w:rFonts w:ascii="Times New Roman" w:hAnsi="Times New Roman" w:eastAsia="仿宋_GB2312" w:cs="Times New Roman"/>
                <w:sz w:val="28"/>
                <w:szCs w:val="28"/>
              </w:rPr>
            </w:pPr>
          </w:p>
        </w:tc>
        <w:tc>
          <w:tcPr>
            <w:tcW w:w="851" w:type="dxa"/>
            <w:vAlign w:val="center"/>
          </w:tcPr>
          <w:p w14:paraId="0E8B5061">
            <w:pPr>
              <w:spacing w:line="400" w:lineRule="exact"/>
              <w:jc w:val="center"/>
              <w:rPr>
                <w:rFonts w:ascii="Times New Roman" w:hAnsi="Times New Roman" w:eastAsia="仿宋_GB2312" w:cs="Times New Roman"/>
                <w:sz w:val="28"/>
                <w:szCs w:val="28"/>
              </w:rPr>
            </w:pPr>
          </w:p>
        </w:tc>
      </w:tr>
      <w:tr w14:paraId="5E66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74F9738E">
            <w:pPr>
              <w:spacing w:line="400" w:lineRule="exact"/>
              <w:jc w:val="center"/>
              <w:rPr>
                <w:rFonts w:ascii="Times New Roman" w:hAnsi="Times New Roman" w:eastAsia="仿宋_GB2312" w:cs="Times New Roman"/>
                <w:sz w:val="28"/>
                <w:szCs w:val="28"/>
              </w:rPr>
            </w:pPr>
          </w:p>
        </w:tc>
        <w:tc>
          <w:tcPr>
            <w:tcW w:w="2644" w:type="dxa"/>
            <w:vAlign w:val="center"/>
          </w:tcPr>
          <w:p w14:paraId="20D2FBFC">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其他（指明）</w:t>
            </w:r>
          </w:p>
        </w:tc>
        <w:tc>
          <w:tcPr>
            <w:tcW w:w="708" w:type="dxa"/>
            <w:vAlign w:val="center"/>
          </w:tcPr>
          <w:p w14:paraId="5919AD84">
            <w:pPr>
              <w:spacing w:line="400" w:lineRule="exact"/>
              <w:jc w:val="center"/>
              <w:rPr>
                <w:rFonts w:ascii="Times New Roman" w:hAnsi="Times New Roman" w:eastAsia="仿宋_GB2312" w:cs="Times New Roman"/>
                <w:sz w:val="28"/>
                <w:szCs w:val="28"/>
              </w:rPr>
            </w:pPr>
          </w:p>
        </w:tc>
        <w:tc>
          <w:tcPr>
            <w:tcW w:w="709" w:type="dxa"/>
            <w:vAlign w:val="center"/>
          </w:tcPr>
          <w:p w14:paraId="492278EB">
            <w:pPr>
              <w:spacing w:line="400" w:lineRule="exact"/>
              <w:jc w:val="center"/>
              <w:rPr>
                <w:rFonts w:ascii="Times New Roman" w:hAnsi="Times New Roman" w:eastAsia="仿宋_GB2312" w:cs="Times New Roman"/>
                <w:sz w:val="28"/>
                <w:szCs w:val="28"/>
              </w:rPr>
            </w:pPr>
          </w:p>
        </w:tc>
        <w:tc>
          <w:tcPr>
            <w:tcW w:w="709" w:type="dxa"/>
            <w:vAlign w:val="center"/>
          </w:tcPr>
          <w:p w14:paraId="4A85B2A7">
            <w:pPr>
              <w:spacing w:line="400" w:lineRule="exact"/>
              <w:jc w:val="center"/>
              <w:rPr>
                <w:rFonts w:ascii="Times New Roman" w:hAnsi="Times New Roman" w:eastAsia="仿宋_GB2312" w:cs="Times New Roman"/>
                <w:sz w:val="28"/>
                <w:szCs w:val="28"/>
              </w:rPr>
            </w:pPr>
          </w:p>
        </w:tc>
        <w:tc>
          <w:tcPr>
            <w:tcW w:w="850" w:type="dxa"/>
            <w:vAlign w:val="center"/>
          </w:tcPr>
          <w:p w14:paraId="06237DFF">
            <w:pPr>
              <w:spacing w:line="400" w:lineRule="exact"/>
              <w:jc w:val="center"/>
              <w:rPr>
                <w:rFonts w:ascii="Times New Roman" w:hAnsi="Times New Roman" w:eastAsia="仿宋_GB2312" w:cs="Times New Roman"/>
                <w:sz w:val="28"/>
                <w:szCs w:val="28"/>
              </w:rPr>
            </w:pPr>
          </w:p>
        </w:tc>
        <w:tc>
          <w:tcPr>
            <w:tcW w:w="851" w:type="dxa"/>
            <w:vAlign w:val="center"/>
          </w:tcPr>
          <w:p w14:paraId="1AA56480">
            <w:pPr>
              <w:spacing w:line="400" w:lineRule="exact"/>
              <w:jc w:val="center"/>
              <w:rPr>
                <w:rFonts w:ascii="Times New Roman" w:hAnsi="Times New Roman" w:eastAsia="仿宋_GB2312" w:cs="Times New Roman"/>
                <w:sz w:val="28"/>
                <w:szCs w:val="28"/>
              </w:rPr>
            </w:pPr>
          </w:p>
        </w:tc>
        <w:tc>
          <w:tcPr>
            <w:tcW w:w="992" w:type="dxa"/>
            <w:vAlign w:val="center"/>
          </w:tcPr>
          <w:p w14:paraId="560D3334">
            <w:pPr>
              <w:spacing w:line="400" w:lineRule="exact"/>
              <w:jc w:val="center"/>
              <w:rPr>
                <w:rFonts w:ascii="Times New Roman" w:hAnsi="Times New Roman" w:eastAsia="仿宋_GB2312" w:cs="Times New Roman"/>
                <w:sz w:val="28"/>
                <w:szCs w:val="28"/>
              </w:rPr>
            </w:pPr>
          </w:p>
        </w:tc>
        <w:tc>
          <w:tcPr>
            <w:tcW w:w="851" w:type="dxa"/>
            <w:vAlign w:val="center"/>
          </w:tcPr>
          <w:p w14:paraId="53722E47">
            <w:pPr>
              <w:spacing w:line="400" w:lineRule="exact"/>
              <w:jc w:val="center"/>
              <w:rPr>
                <w:rFonts w:ascii="Times New Roman" w:hAnsi="Times New Roman" w:eastAsia="仿宋_GB2312" w:cs="Times New Roman"/>
                <w:sz w:val="28"/>
                <w:szCs w:val="28"/>
              </w:rPr>
            </w:pPr>
          </w:p>
        </w:tc>
      </w:tr>
      <w:tr w14:paraId="24F1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restart"/>
            <w:vAlign w:val="center"/>
          </w:tcPr>
          <w:p w14:paraId="11A101FC">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血管</w:t>
            </w:r>
          </w:p>
        </w:tc>
        <w:tc>
          <w:tcPr>
            <w:tcW w:w="2644" w:type="dxa"/>
            <w:vAlign w:val="center"/>
          </w:tcPr>
          <w:p w14:paraId="68D5D525">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经颅</w:t>
            </w:r>
          </w:p>
        </w:tc>
        <w:tc>
          <w:tcPr>
            <w:tcW w:w="708" w:type="dxa"/>
            <w:vAlign w:val="center"/>
          </w:tcPr>
          <w:p w14:paraId="6E5ED9E9">
            <w:pPr>
              <w:spacing w:line="400" w:lineRule="exact"/>
              <w:jc w:val="center"/>
              <w:rPr>
                <w:rFonts w:ascii="Times New Roman" w:hAnsi="Times New Roman" w:eastAsia="仿宋_GB2312" w:cs="Times New Roman"/>
                <w:sz w:val="28"/>
                <w:szCs w:val="28"/>
              </w:rPr>
            </w:pPr>
          </w:p>
        </w:tc>
        <w:tc>
          <w:tcPr>
            <w:tcW w:w="709" w:type="dxa"/>
            <w:vAlign w:val="center"/>
          </w:tcPr>
          <w:p w14:paraId="47DAA7F2">
            <w:pPr>
              <w:spacing w:line="400" w:lineRule="exact"/>
              <w:jc w:val="center"/>
              <w:rPr>
                <w:rFonts w:ascii="Times New Roman" w:hAnsi="Times New Roman" w:eastAsia="仿宋_GB2312" w:cs="Times New Roman"/>
                <w:sz w:val="28"/>
                <w:szCs w:val="28"/>
              </w:rPr>
            </w:pPr>
          </w:p>
        </w:tc>
        <w:tc>
          <w:tcPr>
            <w:tcW w:w="709" w:type="dxa"/>
            <w:vAlign w:val="center"/>
          </w:tcPr>
          <w:p w14:paraId="2A69C2C3">
            <w:pPr>
              <w:spacing w:line="400" w:lineRule="exact"/>
              <w:jc w:val="center"/>
              <w:rPr>
                <w:rFonts w:ascii="Times New Roman" w:hAnsi="Times New Roman" w:eastAsia="仿宋_GB2312" w:cs="Times New Roman"/>
                <w:sz w:val="28"/>
                <w:szCs w:val="28"/>
              </w:rPr>
            </w:pPr>
          </w:p>
        </w:tc>
        <w:tc>
          <w:tcPr>
            <w:tcW w:w="850" w:type="dxa"/>
            <w:vAlign w:val="center"/>
          </w:tcPr>
          <w:p w14:paraId="36617022">
            <w:pPr>
              <w:spacing w:line="400" w:lineRule="exact"/>
              <w:jc w:val="center"/>
              <w:rPr>
                <w:rFonts w:ascii="Times New Roman" w:hAnsi="Times New Roman" w:eastAsia="仿宋_GB2312" w:cs="Times New Roman"/>
                <w:sz w:val="28"/>
                <w:szCs w:val="28"/>
              </w:rPr>
            </w:pPr>
          </w:p>
        </w:tc>
        <w:tc>
          <w:tcPr>
            <w:tcW w:w="851" w:type="dxa"/>
            <w:vAlign w:val="center"/>
          </w:tcPr>
          <w:p w14:paraId="53179228">
            <w:pPr>
              <w:spacing w:line="400" w:lineRule="exact"/>
              <w:jc w:val="center"/>
              <w:rPr>
                <w:rFonts w:ascii="Times New Roman" w:hAnsi="Times New Roman" w:eastAsia="仿宋_GB2312" w:cs="Times New Roman"/>
                <w:sz w:val="28"/>
                <w:szCs w:val="28"/>
              </w:rPr>
            </w:pPr>
          </w:p>
        </w:tc>
        <w:tc>
          <w:tcPr>
            <w:tcW w:w="992" w:type="dxa"/>
            <w:vAlign w:val="center"/>
          </w:tcPr>
          <w:p w14:paraId="4A4EDF26">
            <w:pPr>
              <w:spacing w:line="400" w:lineRule="exact"/>
              <w:jc w:val="center"/>
              <w:rPr>
                <w:rFonts w:ascii="Times New Roman" w:hAnsi="Times New Roman" w:eastAsia="仿宋_GB2312" w:cs="Times New Roman"/>
                <w:sz w:val="28"/>
                <w:szCs w:val="28"/>
              </w:rPr>
            </w:pPr>
          </w:p>
        </w:tc>
        <w:tc>
          <w:tcPr>
            <w:tcW w:w="851" w:type="dxa"/>
            <w:vAlign w:val="center"/>
          </w:tcPr>
          <w:p w14:paraId="4ED38DBE">
            <w:pPr>
              <w:spacing w:line="400" w:lineRule="exact"/>
              <w:jc w:val="center"/>
              <w:rPr>
                <w:rFonts w:ascii="Times New Roman" w:hAnsi="Times New Roman" w:eastAsia="仿宋_GB2312" w:cs="Times New Roman"/>
                <w:sz w:val="28"/>
                <w:szCs w:val="28"/>
              </w:rPr>
            </w:pPr>
          </w:p>
        </w:tc>
      </w:tr>
      <w:tr w14:paraId="7117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650D66BC">
            <w:pPr>
              <w:spacing w:line="400" w:lineRule="exact"/>
              <w:jc w:val="center"/>
              <w:rPr>
                <w:rFonts w:ascii="Times New Roman" w:hAnsi="Times New Roman" w:eastAsia="仿宋_GB2312" w:cs="Times New Roman"/>
                <w:sz w:val="28"/>
                <w:szCs w:val="28"/>
              </w:rPr>
            </w:pPr>
          </w:p>
        </w:tc>
        <w:tc>
          <w:tcPr>
            <w:tcW w:w="2644" w:type="dxa"/>
            <w:vAlign w:val="center"/>
          </w:tcPr>
          <w:p w14:paraId="4E2B2A64">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外围血管</w:t>
            </w:r>
          </w:p>
        </w:tc>
        <w:tc>
          <w:tcPr>
            <w:tcW w:w="708" w:type="dxa"/>
            <w:vAlign w:val="center"/>
          </w:tcPr>
          <w:p w14:paraId="69060DFA">
            <w:pPr>
              <w:spacing w:line="400" w:lineRule="exact"/>
              <w:jc w:val="center"/>
              <w:rPr>
                <w:rFonts w:ascii="Times New Roman" w:hAnsi="Times New Roman" w:eastAsia="仿宋_GB2312" w:cs="Times New Roman"/>
                <w:sz w:val="28"/>
                <w:szCs w:val="28"/>
              </w:rPr>
            </w:pPr>
          </w:p>
        </w:tc>
        <w:tc>
          <w:tcPr>
            <w:tcW w:w="709" w:type="dxa"/>
            <w:vAlign w:val="center"/>
          </w:tcPr>
          <w:p w14:paraId="28530CE2">
            <w:pPr>
              <w:spacing w:line="400" w:lineRule="exact"/>
              <w:jc w:val="center"/>
              <w:rPr>
                <w:rFonts w:ascii="Times New Roman" w:hAnsi="Times New Roman" w:eastAsia="仿宋_GB2312" w:cs="Times New Roman"/>
                <w:sz w:val="28"/>
                <w:szCs w:val="28"/>
              </w:rPr>
            </w:pPr>
          </w:p>
        </w:tc>
        <w:tc>
          <w:tcPr>
            <w:tcW w:w="709" w:type="dxa"/>
            <w:vAlign w:val="center"/>
          </w:tcPr>
          <w:p w14:paraId="15220482">
            <w:pPr>
              <w:spacing w:line="400" w:lineRule="exact"/>
              <w:jc w:val="center"/>
              <w:rPr>
                <w:rFonts w:ascii="Times New Roman" w:hAnsi="Times New Roman" w:eastAsia="仿宋_GB2312" w:cs="Times New Roman"/>
                <w:sz w:val="28"/>
                <w:szCs w:val="28"/>
              </w:rPr>
            </w:pPr>
          </w:p>
        </w:tc>
        <w:tc>
          <w:tcPr>
            <w:tcW w:w="850" w:type="dxa"/>
            <w:vAlign w:val="center"/>
          </w:tcPr>
          <w:p w14:paraId="5513B0DD">
            <w:pPr>
              <w:spacing w:line="400" w:lineRule="exact"/>
              <w:jc w:val="center"/>
              <w:rPr>
                <w:rFonts w:ascii="Times New Roman" w:hAnsi="Times New Roman" w:eastAsia="仿宋_GB2312" w:cs="Times New Roman"/>
                <w:sz w:val="28"/>
                <w:szCs w:val="28"/>
              </w:rPr>
            </w:pPr>
          </w:p>
        </w:tc>
        <w:tc>
          <w:tcPr>
            <w:tcW w:w="851" w:type="dxa"/>
            <w:vAlign w:val="center"/>
          </w:tcPr>
          <w:p w14:paraId="6F74EC9E">
            <w:pPr>
              <w:spacing w:line="400" w:lineRule="exact"/>
              <w:jc w:val="center"/>
              <w:rPr>
                <w:rFonts w:ascii="Times New Roman" w:hAnsi="Times New Roman" w:eastAsia="仿宋_GB2312" w:cs="Times New Roman"/>
                <w:sz w:val="28"/>
                <w:szCs w:val="28"/>
              </w:rPr>
            </w:pPr>
          </w:p>
        </w:tc>
        <w:tc>
          <w:tcPr>
            <w:tcW w:w="992" w:type="dxa"/>
            <w:vAlign w:val="center"/>
          </w:tcPr>
          <w:p w14:paraId="73A65D89">
            <w:pPr>
              <w:spacing w:line="400" w:lineRule="exact"/>
              <w:jc w:val="center"/>
              <w:rPr>
                <w:rFonts w:ascii="Times New Roman" w:hAnsi="Times New Roman" w:eastAsia="仿宋_GB2312" w:cs="Times New Roman"/>
                <w:sz w:val="28"/>
                <w:szCs w:val="28"/>
              </w:rPr>
            </w:pPr>
          </w:p>
        </w:tc>
        <w:tc>
          <w:tcPr>
            <w:tcW w:w="851" w:type="dxa"/>
            <w:vAlign w:val="center"/>
          </w:tcPr>
          <w:p w14:paraId="505F3F96">
            <w:pPr>
              <w:spacing w:line="400" w:lineRule="exact"/>
              <w:jc w:val="center"/>
              <w:rPr>
                <w:rFonts w:ascii="Times New Roman" w:hAnsi="Times New Roman" w:eastAsia="仿宋_GB2312" w:cs="Times New Roman"/>
                <w:sz w:val="28"/>
                <w:szCs w:val="28"/>
              </w:rPr>
            </w:pPr>
          </w:p>
        </w:tc>
      </w:tr>
      <w:tr w14:paraId="6D7A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79" w:type="dxa"/>
            <w:vMerge w:val="continue"/>
            <w:vAlign w:val="center"/>
          </w:tcPr>
          <w:p w14:paraId="266CDE9E">
            <w:pPr>
              <w:spacing w:line="400" w:lineRule="exact"/>
              <w:jc w:val="center"/>
              <w:rPr>
                <w:rFonts w:ascii="Times New Roman" w:hAnsi="Times New Roman" w:eastAsia="仿宋_GB2312" w:cs="Times New Roman"/>
                <w:sz w:val="28"/>
                <w:szCs w:val="28"/>
              </w:rPr>
            </w:pPr>
          </w:p>
        </w:tc>
        <w:tc>
          <w:tcPr>
            <w:tcW w:w="2644" w:type="dxa"/>
            <w:vAlign w:val="center"/>
          </w:tcPr>
          <w:p w14:paraId="39A51376">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其他（指明）</w:t>
            </w:r>
          </w:p>
        </w:tc>
        <w:tc>
          <w:tcPr>
            <w:tcW w:w="708" w:type="dxa"/>
            <w:vAlign w:val="center"/>
          </w:tcPr>
          <w:p w14:paraId="0CE87B53">
            <w:pPr>
              <w:spacing w:line="400" w:lineRule="exact"/>
              <w:jc w:val="center"/>
              <w:rPr>
                <w:rFonts w:ascii="Times New Roman" w:hAnsi="Times New Roman" w:eastAsia="仿宋_GB2312" w:cs="Times New Roman"/>
                <w:sz w:val="28"/>
                <w:szCs w:val="28"/>
              </w:rPr>
            </w:pPr>
          </w:p>
        </w:tc>
        <w:tc>
          <w:tcPr>
            <w:tcW w:w="709" w:type="dxa"/>
            <w:vAlign w:val="center"/>
          </w:tcPr>
          <w:p w14:paraId="4DCFD061">
            <w:pPr>
              <w:spacing w:line="400" w:lineRule="exact"/>
              <w:jc w:val="center"/>
              <w:rPr>
                <w:rFonts w:ascii="Times New Roman" w:hAnsi="Times New Roman" w:eastAsia="仿宋_GB2312" w:cs="Times New Roman"/>
                <w:sz w:val="28"/>
                <w:szCs w:val="28"/>
              </w:rPr>
            </w:pPr>
          </w:p>
        </w:tc>
        <w:tc>
          <w:tcPr>
            <w:tcW w:w="709" w:type="dxa"/>
            <w:vAlign w:val="center"/>
          </w:tcPr>
          <w:p w14:paraId="387A000A">
            <w:pPr>
              <w:spacing w:line="400" w:lineRule="exact"/>
              <w:jc w:val="center"/>
              <w:rPr>
                <w:rFonts w:ascii="Times New Roman" w:hAnsi="Times New Roman" w:eastAsia="仿宋_GB2312" w:cs="Times New Roman"/>
                <w:sz w:val="28"/>
                <w:szCs w:val="28"/>
              </w:rPr>
            </w:pPr>
          </w:p>
        </w:tc>
        <w:tc>
          <w:tcPr>
            <w:tcW w:w="850" w:type="dxa"/>
            <w:vAlign w:val="center"/>
          </w:tcPr>
          <w:p w14:paraId="3B606191">
            <w:pPr>
              <w:spacing w:line="400" w:lineRule="exact"/>
              <w:jc w:val="center"/>
              <w:rPr>
                <w:rFonts w:ascii="Times New Roman" w:hAnsi="Times New Roman" w:eastAsia="仿宋_GB2312" w:cs="Times New Roman"/>
                <w:sz w:val="28"/>
                <w:szCs w:val="28"/>
              </w:rPr>
            </w:pPr>
          </w:p>
        </w:tc>
        <w:tc>
          <w:tcPr>
            <w:tcW w:w="851" w:type="dxa"/>
            <w:vAlign w:val="center"/>
          </w:tcPr>
          <w:p w14:paraId="7B8BBAA9">
            <w:pPr>
              <w:spacing w:line="400" w:lineRule="exact"/>
              <w:jc w:val="center"/>
              <w:rPr>
                <w:rFonts w:ascii="Times New Roman" w:hAnsi="Times New Roman" w:eastAsia="仿宋_GB2312" w:cs="Times New Roman"/>
                <w:sz w:val="28"/>
                <w:szCs w:val="28"/>
              </w:rPr>
            </w:pPr>
          </w:p>
        </w:tc>
        <w:tc>
          <w:tcPr>
            <w:tcW w:w="992" w:type="dxa"/>
            <w:vAlign w:val="center"/>
          </w:tcPr>
          <w:p w14:paraId="3A84CE12">
            <w:pPr>
              <w:spacing w:line="400" w:lineRule="exact"/>
              <w:jc w:val="center"/>
              <w:rPr>
                <w:rFonts w:ascii="Times New Roman" w:hAnsi="Times New Roman" w:eastAsia="仿宋_GB2312" w:cs="Times New Roman"/>
                <w:sz w:val="28"/>
                <w:szCs w:val="28"/>
              </w:rPr>
            </w:pPr>
          </w:p>
        </w:tc>
        <w:tc>
          <w:tcPr>
            <w:tcW w:w="851" w:type="dxa"/>
            <w:vAlign w:val="center"/>
          </w:tcPr>
          <w:p w14:paraId="13E258F1">
            <w:pPr>
              <w:spacing w:line="400" w:lineRule="exact"/>
              <w:jc w:val="center"/>
              <w:rPr>
                <w:rFonts w:ascii="Times New Roman" w:hAnsi="Times New Roman" w:eastAsia="仿宋_GB2312" w:cs="Times New Roman"/>
                <w:sz w:val="28"/>
                <w:szCs w:val="28"/>
              </w:rPr>
            </w:pPr>
          </w:p>
        </w:tc>
      </w:tr>
    </w:tbl>
    <w:p w14:paraId="19EC49D0">
      <w:pPr>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*其他成像模式/工作模式、功能实例可能包括：A模式、振幅多普勒、3D成像、谐波成像、组织运动多普勒、彩色速度成像、复合成像、静态/准静态弹性成像、剪切波弹性成像、造影成像、图像融合/导航功能等。</w:t>
      </w:r>
    </w:p>
    <w:p w14:paraId="18D87606">
      <w:pPr>
        <w:spacing w:line="520" w:lineRule="exact"/>
        <w:rPr>
          <w:rFonts w:ascii="Times New Roman" w:hAnsi="Times New Roman" w:eastAsia="仿宋_GB2312" w:cs="Times New Roman"/>
          <w:bCs/>
          <w:sz w:val="32"/>
          <w:szCs w:val="32"/>
        </w:rPr>
      </w:pPr>
      <w:r>
        <w:rPr>
          <w:rFonts w:ascii="Times New Roman" w:hAnsi="Times New Roman" w:eastAsia="仿宋_GB2312" w:cs="Times New Roman"/>
          <w:sz w:val="32"/>
          <w:szCs w:val="32"/>
        </w:rPr>
        <w:t>注：本表格仅为参考，申请者可根据自己产品特性，参照该表格的格式，编写适用于所申报产品的表格。</w:t>
      </w:r>
      <w:r>
        <w:rPr>
          <w:rFonts w:ascii="Times New Roman" w:hAnsi="Times New Roman" w:eastAsia="仿宋_GB2312" w:cs="Times New Roman"/>
          <w:bCs/>
          <w:sz w:val="32"/>
          <w:szCs w:val="32"/>
        </w:rPr>
        <w:br w:type="page"/>
      </w:r>
    </w:p>
    <w:p w14:paraId="43348644">
      <w:pPr>
        <w:spacing w:line="600" w:lineRule="exact"/>
        <w:outlineLvl w:val="0"/>
        <w:rPr>
          <w:rFonts w:ascii="Times New Roman" w:hAnsi="Times New Roman" w:eastAsia="黑体" w:cs="Times New Roman"/>
          <w:sz w:val="32"/>
          <w:szCs w:val="32"/>
        </w:rPr>
      </w:pPr>
      <w:r>
        <w:rPr>
          <w:rFonts w:ascii="Times New Roman" w:hAnsi="Times New Roman" w:eastAsia="黑体" w:cs="Times New Roman"/>
          <w:sz w:val="32"/>
          <w:szCs w:val="32"/>
        </w:rPr>
        <w:t>附件1-3</w:t>
      </w:r>
    </w:p>
    <w:p w14:paraId="510FC07C">
      <w:pPr>
        <w:spacing w:line="600" w:lineRule="exact"/>
        <w:rPr>
          <w:rFonts w:ascii="Times New Roman" w:hAnsi="Times New Roman" w:eastAsia="方正小标宋简体" w:cs="Times New Roman"/>
          <w:sz w:val="44"/>
          <w:szCs w:val="44"/>
        </w:rPr>
      </w:pPr>
    </w:p>
    <w:p w14:paraId="64583075">
      <w:pPr>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产品风险管理要求</w:t>
      </w:r>
    </w:p>
    <w:p w14:paraId="2647E96C">
      <w:pPr>
        <w:spacing w:line="600" w:lineRule="exact"/>
        <w:rPr>
          <w:rFonts w:ascii="Times New Roman" w:hAnsi="Times New Roman" w:eastAsia="黑体" w:cs="Times New Roman"/>
          <w:color w:val="000000" w:themeColor="text1"/>
          <w:sz w:val="32"/>
          <w:szCs w:val="32"/>
          <w14:textFill>
            <w14:solidFill>
              <w14:schemeClr w14:val="tx1"/>
            </w14:solidFill>
          </w14:textFill>
        </w:rPr>
      </w:pPr>
    </w:p>
    <w:p w14:paraId="2FD2A3CF">
      <w:pPr>
        <w:spacing w:line="52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一、要求</w:t>
      </w:r>
    </w:p>
    <w:p w14:paraId="3EE3124B">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注册申请人应提供拟注册产品的风险管理报告。报告应扼要说明：</w:t>
      </w:r>
    </w:p>
    <w:p w14:paraId="284195C6">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（一）在拟注册产品的研制阶段，已对其有关可能的危害及产生的风险进行了估计和评价，并有针对性地实施了降低风险的技术和管理方面的措施；</w:t>
      </w:r>
    </w:p>
    <w:p w14:paraId="771B8E30">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（二）在产品过程测试中部分验证了这些措施的有效性，达到了通用和相应专用标准的要求；</w:t>
      </w:r>
    </w:p>
    <w:p w14:paraId="772ACFA7">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（三）综合剩余风险是可接受的；</w:t>
      </w:r>
    </w:p>
    <w:p w14:paraId="406D4290">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（四）已有适当方法获得相关生产和生产后信息。</w:t>
      </w:r>
    </w:p>
    <w:p w14:paraId="3A9F62C2">
      <w:pPr>
        <w:spacing w:line="52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二、风险管理报告的内容</w:t>
      </w:r>
    </w:p>
    <w:p w14:paraId="0F9C7B28">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（一）拟注册产品的风险管理组织、人员资格及职责；</w:t>
      </w:r>
    </w:p>
    <w:p w14:paraId="012D565F">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（二）拟注册产品的组成及预期用途；</w:t>
      </w:r>
    </w:p>
    <w:p w14:paraId="43572DC3">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（三）拟注册产品与安全性有关的特征的判定</w:t>
      </w:r>
    </w:p>
    <w:p w14:paraId="028374FA">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申请人应按照YY/T 1437《医疗器械 风险管理对医疗器械的应用指南》附录A的提示，对照拟注册产品的实际情况做针对性的简明描述。</w:t>
      </w:r>
    </w:p>
    <w:p w14:paraId="082B3F50">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注意：拟注册产品如存在附录A提示以外的可能影响安全性的特征，也应做出说明。</w:t>
      </w:r>
    </w:p>
    <w:p w14:paraId="7E28A525">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（四）对拟注册产品的可能危害、可预见事件序列和危险情况的判定</w:t>
      </w:r>
    </w:p>
    <w:p w14:paraId="78547F67">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注册申请人应根据自身产品特点，根据标准附录C的提示，对危害、可预见事件序列、危害处境及可导致的损害做出判定。下表举例列出影像型超声诊断设备常见危害，用以生产企业进行风险管理时作为参考（表3.1） 。</w:t>
      </w:r>
    </w:p>
    <w:p w14:paraId="5540C854">
      <w:pPr>
        <w:pStyle w:val="2"/>
        <w:spacing w:line="400" w:lineRule="exact"/>
        <w:rPr>
          <w:color w:val="000000" w:themeColor="text1"/>
          <w14:textFill>
            <w14:solidFill>
              <w14:schemeClr w14:val="tx1"/>
            </w14:solidFill>
          </w14:textFill>
        </w:rPr>
      </w:pPr>
    </w:p>
    <w:p w14:paraId="5CA896F7">
      <w:pPr>
        <w:spacing w:line="400" w:lineRule="exact"/>
        <w:ind w:firstLine="560" w:firstLineChars="200"/>
        <w:jc w:val="center"/>
        <w:rPr>
          <w:rFonts w:ascii="Times New Roman" w:hAnsi="Times New Roman" w:eastAsia="方正小标宋简体" w:cs="Times New Roman"/>
          <w:color w:val="000000" w:themeColor="text1"/>
          <w:sz w:val="32"/>
          <w:szCs w:val="32"/>
          <w14:textFill>
            <w14:solidFill>
              <w14:schemeClr w14:val="tx1"/>
            </w14:solidFill>
          </w14:textFill>
        </w:rPr>
      </w:pPr>
      <w:r>
        <w:rPr>
          <w:rFonts w:ascii="Times New Roman" w:hAnsi="Times New Roman" w:eastAsia="方正小标宋简体" w:cs="Times New Roman"/>
          <w:color w:val="000000" w:themeColor="text1"/>
          <w:sz w:val="28"/>
          <w:szCs w:val="28"/>
          <w14:textFill>
            <w14:solidFill>
              <w14:schemeClr w14:val="tx1"/>
            </w14:solidFill>
          </w14:textFill>
        </w:rPr>
        <w:t>表3.1 可能危害、可预见事件序列和危险情况示例</w:t>
      </w:r>
    </w:p>
    <w:tbl>
      <w:tblPr>
        <w:tblStyle w:val="88"/>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8"/>
        <w:gridCol w:w="1247"/>
        <w:gridCol w:w="1552"/>
        <w:gridCol w:w="2729"/>
        <w:gridCol w:w="2006"/>
      </w:tblGrid>
      <w:tr w14:paraId="3B1F5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988" w:type="dxa"/>
            <w:tcBorders>
              <w:top w:val="single" w:color="auto" w:sz="4" w:space="0"/>
              <w:left w:val="single" w:color="auto" w:sz="4" w:space="0"/>
              <w:bottom w:val="single" w:color="auto" w:sz="4" w:space="0"/>
              <w:right w:val="single" w:color="auto" w:sz="4" w:space="0"/>
            </w:tcBorders>
            <w:vAlign w:val="center"/>
          </w:tcPr>
          <w:p w14:paraId="4AB46802">
            <w:pPr>
              <w:adjustRightInd w:val="0"/>
              <w:spacing w:line="40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编号</w:t>
            </w:r>
          </w:p>
        </w:tc>
        <w:tc>
          <w:tcPr>
            <w:tcW w:w="1247" w:type="dxa"/>
            <w:tcBorders>
              <w:top w:val="single" w:color="auto" w:sz="4" w:space="0"/>
              <w:left w:val="single" w:color="auto" w:sz="4" w:space="0"/>
              <w:bottom w:val="single" w:color="auto" w:sz="4" w:space="0"/>
              <w:right w:val="single" w:color="auto" w:sz="4" w:space="0"/>
            </w:tcBorders>
            <w:vAlign w:val="center"/>
          </w:tcPr>
          <w:p w14:paraId="0606EC3F">
            <w:pPr>
              <w:adjustRightInd w:val="0"/>
              <w:spacing w:line="40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危害</w:t>
            </w:r>
          </w:p>
        </w:tc>
        <w:tc>
          <w:tcPr>
            <w:tcW w:w="1552" w:type="dxa"/>
            <w:tcBorders>
              <w:top w:val="single" w:color="auto" w:sz="4" w:space="0"/>
              <w:left w:val="single" w:color="auto" w:sz="4" w:space="0"/>
              <w:bottom w:val="single" w:color="auto" w:sz="4" w:space="0"/>
              <w:right w:val="single" w:color="auto" w:sz="4" w:space="0"/>
            </w:tcBorders>
            <w:vAlign w:val="center"/>
          </w:tcPr>
          <w:p w14:paraId="52A1E65B">
            <w:pPr>
              <w:adjustRightInd w:val="0"/>
              <w:spacing w:line="40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可预见事件序列</w:t>
            </w:r>
          </w:p>
        </w:tc>
        <w:tc>
          <w:tcPr>
            <w:tcW w:w="2729" w:type="dxa"/>
            <w:tcBorders>
              <w:top w:val="single" w:color="auto" w:sz="4" w:space="0"/>
              <w:left w:val="single" w:color="auto" w:sz="4" w:space="0"/>
              <w:bottom w:val="single" w:color="auto" w:sz="4" w:space="0"/>
              <w:right w:val="single" w:color="auto" w:sz="4" w:space="0"/>
            </w:tcBorders>
            <w:vAlign w:val="center"/>
          </w:tcPr>
          <w:p w14:paraId="280F171D">
            <w:pPr>
              <w:adjustRightInd w:val="0"/>
              <w:spacing w:line="40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危险情况</w:t>
            </w:r>
          </w:p>
        </w:tc>
        <w:tc>
          <w:tcPr>
            <w:tcW w:w="2006" w:type="dxa"/>
            <w:tcBorders>
              <w:top w:val="single" w:color="auto" w:sz="4" w:space="0"/>
              <w:left w:val="single" w:color="auto" w:sz="4" w:space="0"/>
              <w:bottom w:val="single" w:color="auto" w:sz="4" w:space="0"/>
              <w:right w:val="single" w:color="auto" w:sz="4" w:space="0"/>
            </w:tcBorders>
            <w:vAlign w:val="center"/>
          </w:tcPr>
          <w:p w14:paraId="65F67625">
            <w:pPr>
              <w:adjustRightInd w:val="0"/>
              <w:spacing w:line="40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损害</w:t>
            </w:r>
          </w:p>
        </w:tc>
      </w:tr>
      <w:tr w14:paraId="66BA8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C253325">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w:t>
            </w:r>
          </w:p>
        </w:tc>
        <w:tc>
          <w:tcPr>
            <w:tcW w:w="7534" w:type="dxa"/>
            <w:gridSpan w:val="4"/>
            <w:tcBorders>
              <w:top w:val="single" w:color="auto" w:sz="4" w:space="0"/>
              <w:left w:val="single" w:color="auto" w:sz="4" w:space="0"/>
              <w:bottom w:val="single" w:color="auto" w:sz="4" w:space="0"/>
              <w:right w:val="single" w:color="auto" w:sz="4" w:space="0"/>
            </w:tcBorders>
            <w:vAlign w:val="center"/>
          </w:tcPr>
          <w:p w14:paraId="7A27DF9D">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能量的危害</w:t>
            </w:r>
          </w:p>
        </w:tc>
      </w:tr>
      <w:tr w14:paraId="66156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DDA51F6">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w:t>
            </w:r>
          </w:p>
        </w:tc>
        <w:tc>
          <w:tcPr>
            <w:tcW w:w="7534" w:type="dxa"/>
            <w:gridSpan w:val="4"/>
            <w:tcBorders>
              <w:top w:val="single" w:color="auto" w:sz="4" w:space="0"/>
              <w:left w:val="single" w:color="auto" w:sz="4" w:space="0"/>
              <w:bottom w:val="single" w:color="auto" w:sz="4" w:space="0"/>
              <w:right w:val="single" w:color="auto" w:sz="4" w:space="0"/>
            </w:tcBorders>
            <w:vAlign w:val="center"/>
          </w:tcPr>
          <w:p w14:paraId="5B87069C">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电能</w:t>
            </w:r>
          </w:p>
        </w:tc>
      </w:tr>
      <w:tr w14:paraId="5682B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29"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E90B8AC">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w:t>
            </w:r>
          </w:p>
        </w:tc>
        <w:tc>
          <w:tcPr>
            <w:tcW w:w="1247" w:type="dxa"/>
            <w:vMerge w:val="restart"/>
            <w:tcBorders>
              <w:top w:val="single" w:color="auto" w:sz="4" w:space="0"/>
              <w:left w:val="single" w:color="auto" w:sz="4" w:space="0"/>
              <w:bottom w:val="single" w:color="auto" w:sz="4" w:space="0"/>
              <w:right w:val="single" w:color="auto" w:sz="4" w:space="0"/>
            </w:tcBorders>
            <w:vAlign w:val="center"/>
          </w:tcPr>
          <w:p w14:paraId="7109988A">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182DE238">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电源输入插口剩余电压</w:t>
            </w:r>
          </w:p>
        </w:tc>
        <w:tc>
          <w:tcPr>
            <w:tcW w:w="2729" w:type="dxa"/>
            <w:tcBorders>
              <w:top w:val="single" w:color="auto" w:sz="4" w:space="0"/>
              <w:left w:val="single" w:color="auto" w:sz="4" w:space="0"/>
              <w:bottom w:val="single" w:color="auto" w:sz="4" w:space="0"/>
              <w:right w:val="single" w:color="auto" w:sz="4" w:space="0"/>
            </w:tcBorders>
            <w:vAlign w:val="center"/>
          </w:tcPr>
          <w:p w14:paraId="334C2A07">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滤波器剩余电压断开电源后不能快速泄放。</w:t>
            </w:r>
          </w:p>
        </w:tc>
        <w:tc>
          <w:tcPr>
            <w:tcW w:w="2006" w:type="dxa"/>
            <w:vMerge w:val="restart"/>
            <w:tcBorders>
              <w:top w:val="single" w:color="auto" w:sz="4" w:space="0"/>
              <w:left w:val="single" w:color="auto" w:sz="4" w:space="0"/>
              <w:bottom w:val="single" w:color="auto" w:sz="4" w:space="0"/>
              <w:right w:val="single" w:color="auto" w:sz="4" w:space="0"/>
            </w:tcBorders>
            <w:vAlign w:val="center"/>
          </w:tcPr>
          <w:p w14:paraId="0BF5246A">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导致对人身电击伤害</w:t>
            </w:r>
          </w:p>
        </w:tc>
      </w:tr>
      <w:tr w14:paraId="58903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EABAF9D">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4B7CFAC4">
            <w:pPr>
              <w:widowControl/>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14AD1E3A">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过量的漏电流</w:t>
            </w:r>
          </w:p>
        </w:tc>
        <w:tc>
          <w:tcPr>
            <w:tcW w:w="2729" w:type="dxa"/>
            <w:tcBorders>
              <w:top w:val="single" w:color="auto" w:sz="4" w:space="0"/>
              <w:left w:val="single" w:color="auto" w:sz="4" w:space="0"/>
              <w:bottom w:val="single" w:color="auto" w:sz="4" w:space="0"/>
              <w:right w:val="single" w:color="auto" w:sz="4" w:space="0"/>
            </w:tcBorders>
            <w:vAlign w:val="center"/>
          </w:tcPr>
          <w:p w14:paraId="506D558F">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绝缘/隔离效果不符合要求。</w:t>
            </w:r>
          </w:p>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0D783B86">
            <w:pPr>
              <w:widowControl/>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r>
      <w:tr w14:paraId="70DB9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0C31E24">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48682A3D">
            <w:pPr>
              <w:widowControl/>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5F2933DC">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通过应用部分（如：探头）引起被检查者触电</w:t>
            </w:r>
          </w:p>
        </w:tc>
        <w:tc>
          <w:tcPr>
            <w:tcW w:w="2729" w:type="dxa"/>
            <w:tcBorders>
              <w:top w:val="single" w:color="auto" w:sz="4" w:space="0"/>
              <w:left w:val="single" w:color="auto" w:sz="4" w:space="0"/>
              <w:bottom w:val="single" w:color="auto" w:sz="4" w:space="0"/>
              <w:right w:val="single" w:color="auto" w:sz="4" w:space="0"/>
            </w:tcBorders>
            <w:vAlign w:val="center"/>
          </w:tcPr>
          <w:p w14:paraId="4AB7669F">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1.隔离措施不足；</w:t>
            </w:r>
          </w:p>
          <w:p w14:paraId="78E8CA95">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2.电介质强度达不到要求；</w:t>
            </w:r>
          </w:p>
          <w:p w14:paraId="15B0BAC1">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3．声透镜材料磨损、老化龟裂甚至脱落。</w:t>
            </w:r>
          </w:p>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37F94512">
            <w:pPr>
              <w:widowControl/>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r>
      <w:tr w14:paraId="5F1F6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3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4458302">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④</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69BFA057">
            <w:pPr>
              <w:widowControl/>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777727C8">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误接触高压部分</w:t>
            </w:r>
          </w:p>
        </w:tc>
        <w:tc>
          <w:tcPr>
            <w:tcW w:w="2729" w:type="dxa"/>
            <w:tcBorders>
              <w:top w:val="single" w:color="auto" w:sz="4" w:space="0"/>
              <w:left w:val="single" w:color="auto" w:sz="4" w:space="0"/>
              <w:bottom w:val="single" w:color="auto" w:sz="4" w:space="0"/>
              <w:right w:val="single" w:color="auto" w:sz="4" w:space="0"/>
            </w:tcBorders>
            <w:vAlign w:val="center"/>
          </w:tcPr>
          <w:p w14:paraId="313E1F5D">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1.保护接地没有或失效；</w:t>
            </w:r>
          </w:p>
          <w:p w14:paraId="3746086E">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2.高压绝缘介质年久老化，绝缘性能下降，导致高压击穿。</w:t>
            </w:r>
          </w:p>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14BE2F0B">
            <w:pPr>
              <w:widowControl/>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r>
      <w:tr w14:paraId="58DC8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396EF5F">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w:t>
            </w:r>
          </w:p>
        </w:tc>
        <w:tc>
          <w:tcPr>
            <w:tcW w:w="7534" w:type="dxa"/>
            <w:gridSpan w:val="4"/>
            <w:tcBorders>
              <w:top w:val="single" w:color="auto" w:sz="4" w:space="0"/>
              <w:left w:val="single" w:color="auto" w:sz="4" w:space="0"/>
              <w:bottom w:val="single" w:color="auto" w:sz="4" w:space="0"/>
              <w:right w:val="single" w:color="auto" w:sz="4" w:space="0"/>
            </w:tcBorders>
            <w:vAlign w:val="center"/>
          </w:tcPr>
          <w:p w14:paraId="6069E0A8">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热能</w:t>
            </w:r>
          </w:p>
        </w:tc>
      </w:tr>
      <w:tr w14:paraId="0588B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E823B39">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w:t>
            </w:r>
          </w:p>
        </w:tc>
        <w:tc>
          <w:tcPr>
            <w:tcW w:w="1247" w:type="dxa"/>
            <w:vMerge w:val="restart"/>
            <w:tcBorders>
              <w:top w:val="single" w:color="auto" w:sz="4" w:space="0"/>
              <w:left w:val="single" w:color="auto" w:sz="4" w:space="0"/>
              <w:bottom w:val="single" w:color="auto" w:sz="4" w:space="0"/>
              <w:right w:val="single" w:color="auto" w:sz="4" w:space="0"/>
            </w:tcBorders>
            <w:vAlign w:val="center"/>
          </w:tcPr>
          <w:p w14:paraId="0526C2D7">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3B0D705F">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非预期的或过量的探头组件表面温升</w:t>
            </w:r>
          </w:p>
        </w:tc>
        <w:tc>
          <w:tcPr>
            <w:tcW w:w="2729" w:type="dxa"/>
            <w:tcBorders>
              <w:top w:val="single" w:color="auto" w:sz="4" w:space="0"/>
              <w:left w:val="single" w:color="auto" w:sz="4" w:space="0"/>
              <w:bottom w:val="single" w:color="auto" w:sz="4" w:space="0"/>
              <w:right w:val="single" w:color="auto" w:sz="4" w:space="0"/>
            </w:tcBorders>
            <w:vAlign w:val="center"/>
          </w:tcPr>
          <w:p w14:paraId="0D9CC42E">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探头压电晶片振动的机械损耗、声阻抗匹配不佳引起的损耗和高压开关损耗。</w:t>
            </w:r>
          </w:p>
        </w:tc>
        <w:tc>
          <w:tcPr>
            <w:tcW w:w="2006" w:type="dxa"/>
            <w:vMerge w:val="restart"/>
            <w:tcBorders>
              <w:top w:val="single" w:color="auto" w:sz="4" w:space="0"/>
              <w:left w:val="single" w:color="auto" w:sz="4" w:space="0"/>
              <w:bottom w:val="single" w:color="auto" w:sz="4" w:space="0"/>
              <w:right w:val="single" w:color="auto" w:sz="4" w:space="0"/>
            </w:tcBorders>
            <w:vAlign w:val="center"/>
          </w:tcPr>
          <w:p w14:paraId="521EE01E">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引起人体组织过热或导致烧伤</w:t>
            </w:r>
          </w:p>
        </w:tc>
      </w:tr>
      <w:tr w14:paraId="4C09D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9BC557A">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79280E78">
            <w:pPr>
              <w:widowControl/>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10C01A0B">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超声输出声强设置过高和/或辐照时间过长</w:t>
            </w:r>
          </w:p>
        </w:tc>
        <w:tc>
          <w:tcPr>
            <w:tcW w:w="2729" w:type="dxa"/>
            <w:tcBorders>
              <w:top w:val="single" w:color="auto" w:sz="4" w:space="0"/>
              <w:left w:val="single" w:color="auto" w:sz="4" w:space="0"/>
              <w:bottom w:val="single" w:color="auto" w:sz="4" w:space="0"/>
              <w:right w:val="single" w:color="auto" w:sz="4" w:space="0"/>
            </w:tcBorders>
            <w:vAlign w:val="center"/>
          </w:tcPr>
          <w:p w14:paraId="34B3C2A2">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超声波携带的是机械能，部分被人体吸收并转化为热能。</w:t>
            </w:r>
          </w:p>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6F3E81E3">
            <w:pPr>
              <w:widowControl/>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r>
      <w:tr w14:paraId="459DC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034C51D">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w:t>
            </w:r>
          </w:p>
        </w:tc>
        <w:tc>
          <w:tcPr>
            <w:tcW w:w="7534" w:type="dxa"/>
            <w:gridSpan w:val="4"/>
            <w:tcBorders>
              <w:top w:val="single" w:color="auto" w:sz="4" w:space="0"/>
              <w:left w:val="single" w:color="auto" w:sz="4" w:space="0"/>
              <w:bottom w:val="single" w:color="auto" w:sz="4" w:space="0"/>
              <w:right w:val="single" w:color="auto" w:sz="4" w:space="0"/>
            </w:tcBorders>
            <w:vAlign w:val="center"/>
          </w:tcPr>
          <w:p w14:paraId="737AB5CF">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机械力</w:t>
            </w:r>
          </w:p>
        </w:tc>
      </w:tr>
      <w:tr w14:paraId="7B9DD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04CF51D">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w:t>
            </w:r>
          </w:p>
        </w:tc>
        <w:tc>
          <w:tcPr>
            <w:tcW w:w="1247" w:type="dxa"/>
            <w:vMerge w:val="restart"/>
            <w:tcBorders>
              <w:top w:val="single" w:color="auto" w:sz="4" w:space="0"/>
              <w:left w:val="single" w:color="auto" w:sz="4" w:space="0"/>
              <w:bottom w:val="single" w:color="auto" w:sz="4" w:space="0"/>
              <w:right w:val="single" w:color="auto" w:sz="4" w:space="0"/>
            </w:tcBorders>
            <w:vAlign w:val="center"/>
          </w:tcPr>
          <w:p w14:paraId="336437A5">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26B7942D">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操作者使探头与人体完好皮肤接触时用力过大</w:t>
            </w:r>
          </w:p>
        </w:tc>
        <w:tc>
          <w:tcPr>
            <w:tcW w:w="2729" w:type="dxa"/>
            <w:tcBorders>
              <w:top w:val="single" w:color="auto" w:sz="4" w:space="0"/>
              <w:left w:val="single" w:color="auto" w:sz="4" w:space="0"/>
              <w:bottom w:val="single" w:color="auto" w:sz="4" w:space="0"/>
              <w:right w:val="single" w:color="auto" w:sz="4" w:space="0"/>
            </w:tcBorders>
            <w:vAlign w:val="center"/>
          </w:tcPr>
          <w:p w14:paraId="6BBC5704">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操作者缺乏相关常识。</w:t>
            </w:r>
          </w:p>
        </w:tc>
        <w:tc>
          <w:tcPr>
            <w:tcW w:w="2006" w:type="dxa"/>
            <w:tcBorders>
              <w:top w:val="single" w:color="auto" w:sz="4" w:space="0"/>
              <w:left w:val="single" w:color="auto" w:sz="4" w:space="0"/>
              <w:bottom w:val="single" w:color="auto" w:sz="4" w:space="0"/>
              <w:right w:val="single" w:color="auto" w:sz="4" w:space="0"/>
            </w:tcBorders>
            <w:vAlign w:val="center"/>
          </w:tcPr>
          <w:p w14:paraId="33631809">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引起被检查者不适</w:t>
            </w:r>
          </w:p>
        </w:tc>
      </w:tr>
      <w:tr w14:paraId="67505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0E1CA6A">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211F3F51">
            <w:pPr>
              <w:widowControl/>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46CCD52D">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穿刺导致风险</w:t>
            </w:r>
          </w:p>
        </w:tc>
        <w:tc>
          <w:tcPr>
            <w:tcW w:w="2729" w:type="dxa"/>
            <w:tcBorders>
              <w:top w:val="single" w:color="auto" w:sz="4" w:space="0"/>
              <w:left w:val="single" w:color="auto" w:sz="4" w:space="0"/>
              <w:bottom w:val="single" w:color="auto" w:sz="4" w:space="0"/>
              <w:right w:val="single" w:color="auto" w:sz="4" w:space="0"/>
            </w:tcBorders>
            <w:vAlign w:val="center"/>
          </w:tcPr>
          <w:p w14:paraId="3B1AF584">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操作者不具备穿刺操作资格和能力。</w:t>
            </w:r>
          </w:p>
        </w:tc>
        <w:tc>
          <w:tcPr>
            <w:tcW w:w="2006" w:type="dxa"/>
            <w:tcBorders>
              <w:top w:val="single" w:color="auto" w:sz="4" w:space="0"/>
              <w:left w:val="single" w:color="auto" w:sz="4" w:space="0"/>
              <w:bottom w:val="single" w:color="auto" w:sz="4" w:space="0"/>
              <w:right w:val="single" w:color="auto" w:sz="4" w:space="0"/>
            </w:tcBorders>
            <w:vAlign w:val="center"/>
          </w:tcPr>
          <w:p w14:paraId="14499E73">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严重时可致死亡</w:t>
            </w:r>
          </w:p>
        </w:tc>
      </w:tr>
      <w:tr w14:paraId="2429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1563F9B">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34D2D5CE">
            <w:pPr>
              <w:widowControl/>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17611808">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锐边或尖角</w:t>
            </w:r>
          </w:p>
        </w:tc>
        <w:tc>
          <w:tcPr>
            <w:tcW w:w="2729" w:type="dxa"/>
            <w:tcBorders>
              <w:top w:val="single" w:color="auto" w:sz="4" w:space="0"/>
              <w:left w:val="single" w:color="auto" w:sz="4" w:space="0"/>
              <w:bottom w:val="single" w:color="auto" w:sz="4" w:space="0"/>
              <w:right w:val="single" w:color="auto" w:sz="4" w:space="0"/>
            </w:tcBorders>
            <w:vAlign w:val="center"/>
          </w:tcPr>
          <w:p w14:paraId="02E3965E">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主机或/和探头表面有锐边或尖角。</w:t>
            </w:r>
          </w:p>
        </w:tc>
        <w:tc>
          <w:tcPr>
            <w:tcW w:w="2006" w:type="dxa"/>
            <w:tcBorders>
              <w:top w:val="single" w:color="auto" w:sz="4" w:space="0"/>
              <w:left w:val="single" w:color="auto" w:sz="4" w:space="0"/>
              <w:bottom w:val="single" w:color="auto" w:sz="4" w:space="0"/>
              <w:right w:val="single" w:color="auto" w:sz="4" w:space="0"/>
            </w:tcBorders>
            <w:vAlign w:val="center"/>
          </w:tcPr>
          <w:p w14:paraId="700C551C">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使用者和被检查者被划伤</w:t>
            </w:r>
          </w:p>
        </w:tc>
      </w:tr>
      <w:tr w14:paraId="24FAF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A3C74E5">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w:t>
            </w:r>
          </w:p>
        </w:tc>
        <w:tc>
          <w:tcPr>
            <w:tcW w:w="7534" w:type="dxa"/>
            <w:gridSpan w:val="4"/>
            <w:tcBorders>
              <w:top w:val="single" w:color="auto" w:sz="4" w:space="0"/>
              <w:left w:val="single" w:color="auto" w:sz="4" w:space="0"/>
              <w:bottom w:val="single" w:color="auto" w:sz="4" w:space="0"/>
              <w:right w:val="single" w:color="auto" w:sz="4" w:space="0"/>
            </w:tcBorders>
            <w:vAlign w:val="center"/>
          </w:tcPr>
          <w:p w14:paraId="7C5D5E63">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生物学危害</w:t>
            </w:r>
          </w:p>
        </w:tc>
      </w:tr>
      <w:tr w14:paraId="44051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BCB4DD1">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w:t>
            </w:r>
          </w:p>
        </w:tc>
        <w:tc>
          <w:tcPr>
            <w:tcW w:w="1247" w:type="dxa"/>
            <w:tcBorders>
              <w:top w:val="single" w:color="auto" w:sz="4" w:space="0"/>
              <w:left w:val="single" w:color="auto" w:sz="4" w:space="0"/>
              <w:bottom w:val="single" w:color="auto" w:sz="4" w:space="0"/>
              <w:right w:val="single" w:color="auto" w:sz="4" w:space="0"/>
            </w:tcBorders>
            <w:vAlign w:val="center"/>
          </w:tcPr>
          <w:p w14:paraId="51752032">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1560ECC4">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生物不相容性</w:t>
            </w:r>
          </w:p>
        </w:tc>
        <w:tc>
          <w:tcPr>
            <w:tcW w:w="2729" w:type="dxa"/>
            <w:tcBorders>
              <w:top w:val="single" w:color="auto" w:sz="4" w:space="0"/>
              <w:left w:val="single" w:color="auto" w:sz="4" w:space="0"/>
              <w:bottom w:val="single" w:color="auto" w:sz="4" w:space="0"/>
              <w:right w:val="single" w:color="auto" w:sz="4" w:space="0"/>
            </w:tcBorders>
            <w:vAlign w:val="center"/>
          </w:tcPr>
          <w:p w14:paraId="4267E36F">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1．与被检查者接触的探头材料有致敏性；</w:t>
            </w:r>
          </w:p>
          <w:p w14:paraId="268CF710">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2．与被检查者接触的探头材料有刺激性；</w:t>
            </w:r>
          </w:p>
          <w:p w14:paraId="08EEDD35">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3．与被检查者接触的探头材料有细胞毒性。</w:t>
            </w:r>
          </w:p>
        </w:tc>
        <w:tc>
          <w:tcPr>
            <w:tcW w:w="2006" w:type="dxa"/>
            <w:tcBorders>
              <w:top w:val="single" w:color="auto" w:sz="4" w:space="0"/>
              <w:left w:val="single" w:color="auto" w:sz="4" w:space="0"/>
              <w:bottom w:val="single" w:color="auto" w:sz="4" w:space="0"/>
              <w:right w:val="single" w:color="auto" w:sz="4" w:space="0"/>
            </w:tcBorders>
            <w:vAlign w:val="center"/>
          </w:tcPr>
          <w:p w14:paraId="4EA8FD2A">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产生致敏、刺激和细胞毒性反应</w:t>
            </w:r>
          </w:p>
        </w:tc>
      </w:tr>
      <w:tr w14:paraId="26458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988" w:type="dxa"/>
            <w:tcBorders>
              <w:top w:val="single" w:color="auto" w:sz="4" w:space="0"/>
              <w:left w:val="single" w:color="auto" w:sz="4" w:space="0"/>
              <w:right w:val="single" w:color="auto" w:sz="4" w:space="0"/>
            </w:tcBorders>
            <w:vAlign w:val="center"/>
          </w:tcPr>
          <w:p w14:paraId="1228792E">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w:t>
            </w:r>
          </w:p>
        </w:tc>
        <w:tc>
          <w:tcPr>
            <w:tcW w:w="1247" w:type="dxa"/>
            <w:tcBorders>
              <w:top w:val="single" w:color="auto" w:sz="4" w:space="0"/>
              <w:left w:val="single" w:color="auto" w:sz="4" w:space="0"/>
              <w:right w:val="single" w:color="auto" w:sz="4" w:space="0"/>
            </w:tcBorders>
            <w:vAlign w:val="center"/>
          </w:tcPr>
          <w:p w14:paraId="35BD8206">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4231EF61">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交叉感染</w:t>
            </w:r>
          </w:p>
        </w:tc>
        <w:tc>
          <w:tcPr>
            <w:tcW w:w="2729" w:type="dxa"/>
            <w:tcBorders>
              <w:top w:val="single" w:color="auto" w:sz="4" w:space="0"/>
              <w:left w:val="single" w:color="auto" w:sz="4" w:space="0"/>
              <w:bottom w:val="single" w:color="auto" w:sz="4" w:space="0"/>
              <w:right w:val="single" w:color="auto" w:sz="4" w:space="0"/>
            </w:tcBorders>
            <w:vAlign w:val="center"/>
          </w:tcPr>
          <w:p w14:paraId="10B935DB">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与被检查者接触的部分清洁/消毒不充分或不正确。</w:t>
            </w:r>
          </w:p>
        </w:tc>
        <w:tc>
          <w:tcPr>
            <w:tcW w:w="2006" w:type="dxa"/>
            <w:tcBorders>
              <w:top w:val="single" w:color="auto" w:sz="4" w:space="0"/>
              <w:left w:val="single" w:color="auto" w:sz="4" w:space="0"/>
              <w:bottom w:val="single" w:color="auto" w:sz="4" w:space="0"/>
              <w:right w:val="single" w:color="auto" w:sz="4" w:space="0"/>
            </w:tcBorders>
            <w:vAlign w:val="center"/>
          </w:tcPr>
          <w:p w14:paraId="2C53CF54">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可导致死亡</w:t>
            </w:r>
          </w:p>
        </w:tc>
      </w:tr>
      <w:tr w14:paraId="58EEE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4A1F962">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w:t>
            </w:r>
          </w:p>
        </w:tc>
        <w:tc>
          <w:tcPr>
            <w:tcW w:w="7534" w:type="dxa"/>
            <w:gridSpan w:val="4"/>
            <w:tcBorders>
              <w:top w:val="single" w:color="auto" w:sz="4" w:space="0"/>
              <w:left w:val="single" w:color="auto" w:sz="4" w:space="0"/>
              <w:bottom w:val="single" w:color="auto" w:sz="4" w:space="0"/>
              <w:right w:val="single" w:color="auto" w:sz="4" w:space="0"/>
            </w:tcBorders>
            <w:vAlign w:val="center"/>
          </w:tcPr>
          <w:p w14:paraId="64E8FAEB">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环境危害</w:t>
            </w:r>
          </w:p>
        </w:tc>
      </w:tr>
      <w:tr w14:paraId="267CF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4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0FF4FBC">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w:t>
            </w:r>
          </w:p>
        </w:tc>
        <w:tc>
          <w:tcPr>
            <w:tcW w:w="1247" w:type="dxa"/>
            <w:tcBorders>
              <w:top w:val="single" w:color="auto" w:sz="4" w:space="0"/>
              <w:left w:val="single" w:color="auto" w:sz="4" w:space="0"/>
              <w:bottom w:val="single" w:color="auto" w:sz="4" w:space="0"/>
              <w:right w:val="single" w:color="auto" w:sz="4" w:space="0"/>
            </w:tcBorders>
            <w:vAlign w:val="center"/>
          </w:tcPr>
          <w:p w14:paraId="3DA2C247">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2803F59C">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设备受到外界的电磁干扰</w:t>
            </w:r>
          </w:p>
        </w:tc>
        <w:tc>
          <w:tcPr>
            <w:tcW w:w="2729" w:type="dxa"/>
            <w:tcBorders>
              <w:top w:val="single" w:color="auto" w:sz="4" w:space="0"/>
              <w:left w:val="single" w:color="auto" w:sz="4" w:space="0"/>
              <w:bottom w:val="single" w:color="auto" w:sz="4" w:space="0"/>
              <w:right w:val="single" w:color="auto" w:sz="4" w:space="0"/>
            </w:tcBorders>
            <w:vAlign w:val="center"/>
          </w:tcPr>
          <w:p w14:paraId="3AF23704">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1.产品设计时电磁屏蔽及电路抗扰设计不充分；</w:t>
            </w:r>
          </w:p>
          <w:p w14:paraId="79356A05">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2.未规定设备的使用环境。</w:t>
            </w:r>
          </w:p>
        </w:tc>
        <w:tc>
          <w:tcPr>
            <w:tcW w:w="2006" w:type="dxa"/>
            <w:tcBorders>
              <w:top w:val="single" w:color="auto" w:sz="4" w:space="0"/>
              <w:left w:val="single" w:color="auto" w:sz="4" w:space="0"/>
              <w:bottom w:val="single" w:color="auto" w:sz="4" w:space="0"/>
              <w:right w:val="single" w:color="auto" w:sz="4" w:space="0"/>
            </w:tcBorders>
            <w:vAlign w:val="center"/>
          </w:tcPr>
          <w:p w14:paraId="11312C4B">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不能正常工作</w:t>
            </w:r>
          </w:p>
        </w:tc>
      </w:tr>
      <w:tr w14:paraId="416A1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7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238FF61">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w:t>
            </w:r>
          </w:p>
        </w:tc>
        <w:tc>
          <w:tcPr>
            <w:tcW w:w="1247" w:type="dxa"/>
            <w:tcBorders>
              <w:top w:val="single" w:color="auto" w:sz="4" w:space="0"/>
              <w:left w:val="single" w:color="auto" w:sz="4" w:space="0"/>
              <w:bottom w:val="single" w:color="auto" w:sz="4" w:space="0"/>
              <w:right w:val="single" w:color="auto" w:sz="4" w:space="0"/>
            </w:tcBorders>
            <w:vAlign w:val="center"/>
          </w:tcPr>
          <w:p w14:paraId="7FA9FCC8">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37538EFA">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设备对外界的电磁辐射干扰</w:t>
            </w:r>
          </w:p>
        </w:tc>
        <w:tc>
          <w:tcPr>
            <w:tcW w:w="2729" w:type="dxa"/>
            <w:tcBorders>
              <w:top w:val="single" w:color="auto" w:sz="4" w:space="0"/>
              <w:left w:val="single" w:color="auto" w:sz="4" w:space="0"/>
              <w:bottom w:val="single" w:color="auto" w:sz="4" w:space="0"/>
              <w:right w:val="single" w:color="auto" w:sz="4" w:space="0"/>
            </w:tcBorders>
            <w:vAlign w:val="center"/>
          </w:tcPr>
          <w:p w14:paraId="1BA0CC4A">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1.屏蔽、滤波及接地技术不完善；</w:t>
            </w:r>
          </w:p>
          <w:p w14:paraId="15B9D30E">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2.未规定设备的使用环境要求；</w:t>
            </w:r>
          </w:p>
          <w:p w14:paraId="14E27D88">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3.设备内部信号线与电源线的相互干扰。</w:t>
            </w:r>
          </w:p>
        </w:tc>
        <w:tc>
          <w:tcPr>
            <w:tcW w:w="2006" w:type="dxa"/>
            <w:tcBorders>
              <w:top w:val="single" w:color="auto" w:sz="4" w:space="0"/>
              <w:left w:val="single" w:color="auto" w:sz="4" w:space="0"/>
              <w:bottom w:val="single" w:color="auto" w:sz="4" w:space="0"/>
              <w:right w:val="single" w:color="auto" w:sz="4" w:space="0"/>
            </w:tcBorders>
            <w:vAlign w:val="center"/>
          </w:tcPr>
          <w:p w14:paraId="4FF692C9">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引起其他设备不能正常工作</w:t>
            </w:r>
          </w:p>
        </w:tc>
      </w:tr>
      <w:tr w14:paraId="2BC1B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DA8A4D1">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4</w:t>
            </w:r>
          </w:p>
        </w:tc>
        <w:tc>
          <w:tcPr>
            <w:tcW w:w="7534" w:type="dxa"/>
            <w:gridSpan w:val="4"/>
            <w:tcBorders>
              <w:top w:val="single" w:color="auto" w:sz="4" w:space="0"/>
              <w:left w:val="single" w:color="auto" w:sz="4" w:space="0"/>
              <w:bottom w:val="single" w:color="auto" w:sz="4" w:space="0"/>
              <w:right w:val="single" w:color="auto" w:sz="4" w:space="0"/>
            </w:tcBorders>
            <w:vAlign w:val="center"/>
          </w:tcPr>
          <w:p w14:paraId="69C7A995">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器械使用的危害</w:t>
            </w:r>
          </w:p>
        </w:tc>
      </w:tr>
      <w:tr w14:paraId="16BED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1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20F6221">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w:t>
            </w:r>
          </w:p>
        </w:tc>
        <w:tc>
          <w:tcPr>
            <w:tcW w:w="1247" w:type="dxa"/>
            <w:vMerge w:val="restart"/>
            <w:tcBorders>
              <w:top w:val="single" w:color="auto" w:sz="4" w:space="0"/>
              <w:left w:val="single" w:color="auto" w:sz="4" w:space="0"/>
              <w:bottom w:val="single" w:color="auto" w:sz="4" w:space="0"/>
              <w:right w:val="single" w:color="auto" w:sz="4" w:space="0"/>
            </w:tcBorders>
            <w:vAlign w:val="center"/>
          </w:tcPr>
          <w:p w14:paraId="63345E68">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6B16B47D">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误操作</w:t>
            </w:r>
          </w:p>
        </w:tc>
        <w:tc>
          <w:tcPr>
            <w:tcW w:w="2729" w:type="dxa"/>
            <w:tcBorders>
              <w:top w:val="single" w:color="auto" w:sz="4" w:space="0"/>
              <w:left w:val="single" w:color="auto" w:sz="4" w:space="0"/>
              <w:bottom w:val="single" w:color="auto" w:sz="4" w:space="0"/>
              <w:right w:val="single" w:color="auto" w:sz="4" w:space="0"/>
            </w:tcBorders>
            <w:vAlign w:val="center"/>
          </w:tcPr>
          <w:p w14:paraId="61171126">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1．未经培训的人员使用操作；</w:t>
            </w:r>
          </w:p>
          <w:p w14:paraId="4CF9D4D1">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2．使用程序过于复杂或使用说明书表达不当。</w:t>
            </w:r>
          </w:p>
        </w:tc>
        <w:tc>
          <w:tcPr>
            <w:tcW w:w="2006" w:type="dxa"/>
            <w:tcBorders>
              <w:top w:val="single" w:color="auto" w:sz="4" w:space="0"/>
              <w:left w:val="single" w:color="auto" w:sz="4" w:space="0"/>
              <w:bottom w:val="single" w:color="auto" w:sz="4" w:space="0"/>
              <w:right w:val="single" w:color="auto" w:sz="4" w:space="0"/>
            </w:tcBorders>
            <w:vAlign w:val="center"/>
          </w:tcPr>
          <w:p w14:paraId="276632FD">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被检查者不适、检查结果存在不确定性</w:t>
            </w:r>
          </w:p>
        </w:tc>
      </w:tr>
      <w:tr w14:paraId="7FB1A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15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3638B10">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0CDAC327">
            <w:pPr>
              <w:widowControl/>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3F7D5695">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与消耗品、附件、其他医疗器械的不相容性</w:t>
            </w:r>
          </w:p>
        </w:tc>
        <w:tc>
          <w:tcPr>
            <w:tcW w:w="2729" w:type="dxa"/>
            <w:tcBorders>
              <w:top w:val="single" w:color="auto" w:sz="4" w:space="0"/>
              <w:left w:val="single" w:color="auto" w:sz="4" w:space="0"/>
              <w:bottom w:val="single" w:color="auto" w:sz="4" w:space="0"/>
              <w:right w:val="single" w:color="auto" w:sz="4" w:space="0"/>
            </w:tcBorders>
            <w:vAlign w:val="center"/>
          </w:tcPr>
          <w:p w14:paraId="466F5A6F">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探头上用的超声耦合剂不相容。</w:t>
            </w:r>
          </w:p>
        </w:tc>
        <w:tc>
          <w:tcPr>
            <w:tcW w:w="2006" w:type="dxa"/>
            <w:tcBorders>
              <w:top w:val="single" w:color="auto" w:sz="4" w:space="0"/>
              <w:left w:val="single" w:color="auto" w:sz="4" w:space="0"/>
              <w:bottom w:val="single" w:color="auto" w:sz="4" w:space="0"/>
              <w:right w:val="single" w:color="auto" w:sz="4" w:space="0"/>
            </w:tcBorders>
            <w:vAlign w:val="center"/>
          </w:tcPr>
          <w:p w14:paraId="38ED3907">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会影响成像，并对被检查者皮肤造成不适。</w:t>
            </w:r>
          </w:p>
        </w:tc>
      </w:tr>
      <w:tr w14:paraId="12E9A1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C5AC7FF">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5</w:t>
            </w:r>
          </w:p>
        </w:tc>
        <w:tc>
          <w:tcPr>
            <w:tcW w:w="7534" w:type="dxa"/>
            <w:gridSpan w:val="4"/>
            <w:tcBorders>
              <w:top w:val="single" w:color="auto" w:sz="4" w:space="0"/>
              <w:left w:val="single" w:color="auto" w:sz="4" w:space="0"/>
              <w:bottom w:val="single" w:color="auto" w:sz="4" w:space="0"/>
              <w:right w:val="single" w:color="auto" w:sz="4" w:space="0"/>
            </w:tcBorders>
            <w:vAlign w:val="center"/>
          </w:tcPr>
          <w:p w14:paraId="21B75FF9">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声输出</w:t>
            </w:r>
          </w:p>
        </w:tc>
      </w:tr>
      <w:tr w14:paraId="11E1D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7DB431B">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w:t>
            </w:r>
          </w:p>
        </w:tc>
        <w:tc>
          <w:tcPr>
            <w:tcW w:w="1247" w:type="dxa"/>
            <w:vMerge w:val="restart"/>
            <w:tcBorders>
              <w:top w:val="single" w:color="auto" w:sz="4" w:space="0"/>
              <w:left w:val="single" w:color="auto" w:sz="4" w:space="0"/>
              <w:bottom w:val="single" w:color="auto" w:sz="4" w:space="0"/>
              <w:right w:val="single" w:color="auto" w:sz="4" w:space="0"/>
            </w:tcBorders>
            <w:vAlign w:val="center"/>
          </w:tcPr>
          <w:p w14:paraId="21AA2127">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16C68D71">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被检查者在诊断过程中接受的声辐照剂量超过安全限度</w:t>
            </w:r>
          </w:p>
        </w:tc>
        <w:tc>
          <w:tcPr>
            <w:tcW w:w="2729" w:type="dxa"/>
            <w:tcBorders>
              <w:top w:val="single" w:color="auto" w:sz="4" w:space="0"/>
              <w:left w:val="single" w:color="auto" w:sz="4" w:space="0"/>
              <w:bottom w:val="single" w:color="auto" w:sz="4" w:space="0"/>
              <w:right w:val="single" w:color="auto" w:sz="4" w:space="0"/>
            </w:tcBorders>
            <w:vAlign w:val="center"/>
          </w:tcPr>
          <w:p w14:paraId="5A2CEB56">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设备故障或失控，导致过大超声剂量作用于人体。</w:t>
            </w:r>
          </w:p>
        </w:tc>
        <w:tc>
          <w:tcPr>
            <w:tcW w:w="2006" w:type="dxa"/>
            <w:vMerge w:val="restart"/>
            <w:tcBorders>
              <w:top w:val="single" w:color="auto" w:sz="4" w:space="0"/>
              <w:left w:val="single" w:color="auto" w:sz="4" w:space="0"/>
              <w:bottom w:val="single" w:color="auto" w:sz="4" w:space="0"/>
              <w:right w:val="single" w:color="auto" w:sz="4" w:space="0"/>
            </w:tcBorders>
            <w:vAlign w:val="center"/>
          </w:tcPr>
          <w:p w14:paraId="084D206E">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人体组织细胞失活</w:t>
            </w:r>
          </w:p>
        </w:tc>
      </w:tr>
      <w:tr w14:paraId="3CFB2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0BA1806">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1E385BC6">
            <w:pPr>
              <w:widowControl/>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73257A3E">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非预期的或过量超声输出的产生</w:t>
            </w:r>
          </w:p>
        </w:tc>
        <w:tc>
          <w:tcPr>
            <w:tcW w:w="2729" w:type="dxa"/>
            <w:tcBorders>
              <w:top w:val="single" w:color="auto" w:sz="4" w:space="0"/>
              <w:left w:val="single" w:color="auto" w:sz="4" w:space="0"/>
              <w:bottom w:val="single" w:color="auto" w:sz="4" w:space="0"/>
              <w:right w:val="single" w:color="auto" w:sz="4" w:space="0"/>
            </w:tcBorders>
            <w:vAlign w:val="center"/>
          </w:tcPr>
          <w:p w14:paraId="7FCF8904">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产品声输出显示功能失效或故障。</w:t>
            </w:r>
          </w:p>
        </w:tc>
        <w:tc>
          <w:tcPr>
            <w:tcW w:w="2006" w:type="dxa"/>
            <w:vMerge w:val="continue"/>
            <w:tcBorders>
              <w:top w:val="single" w:color="auto" w:sz="4" w:space="0"/>
              <w:left w:val="single" w:color="auto" w:sz="4" w:space="0"/>
              <w:bottom w:val="single" w:color="auto" w:sz="4" w:space="0"/>
              <w:right w:val="single" w:color="auto" w:sz="4" w:space="0"/>
            </w:tcBorders>
            <w:vAlign w:val="center"/>
          </w:tcPr>
          <w:p w14:paraId="57C85F41">
            <w:pPr>
              <w:widowControl/>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r>
      <w:tr w14:paraId="0A523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99715C8">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6</w:t>
            </w:r>
          </w:p>
        </w:tc>
        <w:tc>
          <w:tcPr>
            <w:tcW w:w="7534" w:type="dxa"/>
            <w:gridSpan w:val="4"/>
            <w:tcBorders>
              <w:top w:val="single" w:color="auto" w:sz="4" w:space="0"/>
              <w:left w:val="single" w:color="auto" w:sz="4" w:space="0"/>
              <w:bottom w:val="single" w:color="auto" w:sz="4" w:space="0"/>
              <w:right w:val="single" w:color="auto" w:sz="4" w:space="0"/>
            </w:tcBorders>
            <w:vAlign w:val="center"/>
          </w:tcPr>
          <w:p w14:paraId="042B4066">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软件</w:t>
            </w:r>
          </w:p>
        </w:tc>
      </w:tr>
      <w:tr w14:paraId="577C6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F61E529">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w:t>
            </w:r>
          </w:p>
        </w:tc>
        <w:tc>
          <w:tcPr>
            <w:tcW w:w="1247" w:type="dxa"/>
            <w:vMerge w:val="restart"/>
            <w:tcBorders>
              <w:top w:val="single" w:color="auto" w:sz="4" w:space="0"/>
              <w:left w:val="single" w:color="auto" w:sz="4" w:space="0"/>
              <w:bottom w:val="single" w:color="auto" w:sz="4" w:space="0"/>
              <w:right w:val="single" w:color="auto" w:sz="4" w:space="0"/>
            </w:tcBorders>
            <w:vAlign w:val="center"/>
          </w:tcPr>
          <w:p w14:paraId="39A10ACB">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7227F0B9">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软件错误可能导致被检查者图像信息模糊；电信号控制不当</w:t>
            </w:r>
          </w:p>
        </w:tc>
        <w:tc>
          <w:tcPr>
            <w:tcW w:w="2729" w:type="dxa"/>
            <w:tcBorders>
              <w:top w:val="single" w:color="auto" w:sz="4" w:space="0"/>
              <w:left w:val="single" w:color="auto" w:sz="4" w:space="0"/>
              <w:bottom w:val="single" w:color="auto" w:sz="4" w:space="0"/>
              <w:right w:val="single" w:color="auto" w:sz="4" w:space="0"/>
            </w:tcBorders>
            <w:vAlign w:val="center"/>
          </w:tcPr>
          <w:p w14:paraId="014AE764">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软件未经正常的试验、测试。</w:t>
            </w:r>
          </w:p>
        </w:tc>
        <w:tc>
          <w:tcPr>
            <w:tcW w:w="2006" w:type="dxa"/>
            <w:tcBorders>
              <w:top w:val="single" w:color="auto" w:sz="4" w:space="0"/>
              <w:left w:val="single" w:color="auto" w:sz="4" w:space="0"/>
              <w:bottom w:val="single" w:color="auto" w:sz="4" w:space="0"/>
              <w:right w:val="single" w:color="auto" w:sz="4" w:space="0"/>
            </w:tcBorders>
            <w:vAlign w:val="center"/>
          </w:tcPr>
          <w:p w14:paraId="319B964F">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影响正确诊断</w:t>
            </w:r>
          </w:p>
          <w:p w14:paraId="38E22A45">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导致声输出不正确</w:t>
            </w:r>
          </w:p>
        </w:tc>
      </w:tr>
      <w:tr w14:paraId="0249D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8"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AC8A1A4">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5DEE06E3">
            <w:pPr>
              <w:widowControl/>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0F8B2B67">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面板上按键工作不正常</w:t>
            </w:r>
          </w:p>
        </w:tc>
        <w:tc>
          <w:tcPr>
            <w:tcW w:w="2729" w:type="dxa"/>
            <w:tcBorders>
              <w:top w:val="single" w:color="auto" w:sz="4" w:space="0"/>
              <w:left w:val="single" w:color="auto" w:sz="4" w:space="0"/>
              <w:bottom w:val="single" w:color="auto" w:sz="4" w:space="0"/>
              <w:right w:val="single" w:color="auto" w:sz="4" w:space="0"/>
            </w:tcBorders>
            <w:vAlign w:val="center"/>
          </w:tcPr>
          <w:p w14:paraId="690CC856">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1.器件质量差；</w:t>
            </w:r>
          </w:p>
          <w:p w14:paraId="2A6E74BE">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2.单片机受外界干扰不能正常工作。</w:t>
            </w:r>
          </w:p>
        </w:tc>
        <w:tc>
          <w:tcPr>
            <w:tcW w:w="2006" w:type="dxa"/>
            <w:tcBorders>
              <w:top w:val="single" w:color="auto" w:sz="4" w:space="0"/>
              <w:left w:val="single" w:color="auto" w:sz="4" w:space="0"/>
              <w:bottom w:val="single" w:color="auto" w:sz="4" w:space="0"/>
              <w:right w:val="single" w:color="auto" w:sz="4" w:space="0"/>
            </w:tcBorders>
            <w:vAlign w:val="center"/>
          </w:tcPr>
          <w:p w14:paraId="6A816D45">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按键工作不正常或显示乱码</w:t>
            </w:r>
          </w:p>
        </w:tc>
      </w:tr>
      <w:tr w14:paraId="4A6AD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84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6EA1763">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3D901BF7">
            <w:pPr>
              <w:widowControl/>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5C8DABE5">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死机</w:t>
            </w:r>
          </w:p>
        </w:tc>
        <w:tc>
          <w:tcPr>
            <w:tcW w:w="2729" w:type="dxa"/>
            <w:tcBorders>
              <w:top w:val="single" w:color="auto" w:sz="4" w:space="0"/>
              <w:left w:val="single" w:color="auto" w:sz="4" w:space="0"/>
              <w:bottom w:val="single" w:color="auto" w:sz="4" w:space="0"/>
              <w:right w:val="single" w:color="auto" w:sz="4" w:space="0"/>
            </w:tcBorders>
            <w:vAlign w:val="center"/>
          </w:tcPr>
          <w:p w14:paraId="42084FE0">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容错能力差。</w:t>
            </w:r>
          </w:p>
        </w:tc>
        <w:tc>
          <w:tcPr>
            <w:tcW w:w="2006" w:type="dxa"/>
            <w:tcBorders>
              <w:top w:val="single" w:color="auto" w:sz="4" w:space="0"/>
              <w:left w:val="single" w:color="auto" w:sz="4" w:space="0"/>
              <w:bottom w:val="single" w:color="auto" w:sz="4" w:space="0"/>
              <w:right w:val="single" w:color="auto" w:sz="4" w:space="0"/>
            </w:tcBorders>
            <w:vAlign w:val="center"/>
          </w:tcPr>
          <w:p w14:paraId="53ED1C7D">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延误诊断</w:t>
            </w:r>
          </w:p>
        </w:tc>
      </w:tr>
      <w:tr w14:paraId="45B09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0055D94">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7</w:t>
            </w:r>
          </w:p>
        </w:tc>
        <w:tc>
          <w:tcPr>
            <w:tcW w:w="1247" w:type="dxa"/>
            <w:tcBorders>
              <w:top w:val="single" w:color="auto" w:sz="4" w:space="0"/>
              <w:left w:val="single" w:color="auto" w:sz="4" w:space="0"/>
              <w:bottom w:val="single" w:color="auto" w:sz="4" w:space="0"/>
              <w:right w:val="single" w:color="auto" w:sz="4" w:space="0"/>
            </w:tcBorders>
            <w:vAlign w:val="center"/>
          </w:tcPr>
          <w:p w14:paraId="68E39602">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临床诊断的准确性</w:t>
            </w:r>
          </w:p>
        </w:tc>
        <w:tc>
          <w:tcPr>
            <w:tcW w:w="1552" w:type="dxa"/>
            <w:tcBorders>
              <w:top w:val="single" w:color="auto" w:sz="4" w:space="0"/>
              <w:left w:val="single" w:color="auto" w:sz="4" w:space="0"/>
              <w:bottom w:val="single" w:color="auto" w:sz="4" w:space="0"/>
              <w:right w:val="single" w:color="auto" w:sz="4" w:space="0"/>
            </w:tcBorders>
            <w:vAlign w:val="center"/>
          </w:tcPr>
          <w:p w14:paraId="7DFEC11C">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波形中的噪声</w:t>
            </w:r>
          </w:p>
        </w:tc>
        <w:tc>
          <w:tcPr>
            <w:tcW w:w="2729" w:type="dxa"/>
            <w:tcBorders>
              <w:top w:val="single" w:color="auto" w:sz="4" w:space="0"/>
              <w:left w:val="single" w:color="auto" w:sz="4" w:space="0"/>
              <w:bottom w:val="single" w:color="auto" w:sz="4" w:space="0"/>
              <w:right w:val="single" w:color="auto" w:sz="4" w:space="0"/>
            </w:tcBorders>
            <w:vAlign w:val="center"/>
          </w:tcPr>
          <w:p w14:paraId="31435CF0">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伪像、图像中的失真或所显示数字值的误差。</w:t>
            </w:r>
          </w:p>
        </w:tc>
        <w:tc>
          <w:tcPr>
            <w:tcW w:w="2006" w:type="dxa"/>
            <w:tcBorders>
              <w:top w:val="single" w:color="auto" w:sz="4" w:space="0"/>
              <w:left w:val="single" w:color="auto" w:sz="4" w:space="0"/>
              <w:bottom w:val="single" w:color="auto" w:sz="4" w:space="0"/>
              <w:right w:val="single" w:color="auto" w:sz="4" w:space="0"/>
            </w:tcBorders>
            <w:vAlign w:val="center"/>
          </w:tcPr>
          <w:p w14:paraId="00513025">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可能改变诊断结果</w:t>
            </w:r>
          </w:p>
        </w:tc>
      </w:tr>
      <w:tr w14:paraId="1F0E6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3957D2E">
            <w:pPr>
              <w:adjustRightInd w:val="0"/>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8</w:t>
            </w:r>
          </w:p>
        </w:tc>
        <w:tc>
          <w:tcPr>
            <w:tcW w:w="1247" w:type="dxa"/>
            <w:tcBorders>
              <w:top w:val="single" w:color="auto" w:sz="4" w:space="0"/>
              <w:left w:val="single" w:color="auto" w:sz="4" w:space="0"/>
              <w:bottom w:val="single" w:color="auto" w:sz="4" w:space="0"/>
              <w:right w:val="single" w:color="auto" w:sz="4" w:space="0"/>
            </w:tcBorders>
            <w:vAlign w:val="center"/>
          </w:tcPr>
          <w:p w14:paraId="38F0103F">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人机工程</w:t>
            </w:r>
          </w:p>
        </w:tc>
        <w:tc>
          <w:tcPr>
            <w:tcW w:w="1552" w:type="dxa"/>
            <w:tcBorders>
              <w:top w:val="single" w:color="auto" w:sz="4" w:space="0"/>
              <w:left w:val="single" w:color="auto" w:sz="4" w:space="0"/>
              <w:bottom w:val="single" w:color="auto" w:sz="4" w:space="0"/>
              <w:right w:val="single" w:color="auto" w:sz="4" w:space="0"/>
            </w:tcBorders>
            <w:vAlign w:val="center"/>
          </w:tcPr>
          <w:p w14:paraId="6CAC261D">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观察困难</w:t>
            </w:r>
          </w:p>
        </w:tc>
        <w:tc>
          <w:tcPr>
            <w:tcW w:w="2729" w:type="dxa"/>
            <w:tcBorders>
              <w:top w:val="single" w:color="auto" w:sz="4" w:space="0"/>
              <w:left w:val="single" w:color="auto" w:sz="4" w:space="0"/>
              <w:bottom w:val="single" w:color="auto" w:sz="4" w:space="0"/>
              <w:right w:val="single" w:color="auto" w:sz="4" w:space="0"/>
            </w:tcBorders>
            <w:vAlign w:val="center"/>
          </w:tcPr>
          <w:p w14:paraId="233F0F96">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显示信息不清晰,操作过于复杂, 操作点布置不符合人体特征与常规习惯。</w:t>
            </w:r>
          </w:p>
        </w:tc>
        <w:tc>
          <w:tcPr>
            <w:tcW w:w="2006" w:type="dxa"/>
            <w:tcBorders>
              <w:top w:val="single" w:color="auto" w:sz="4" w:space="0"/>
              <w:left w:val="single" w:color="auto" w:sz="4" w:space="0"/>
              <w:bottom w:val="single" w:color="auto" w:sz="4" w:space="0"/>
              <w:right w:val="single" w:color="auto" w:sz="4" w:space="0"/>
            </w:tcBorders>
            <w:vAlign w:val="center"/>
          </w:tcPr>
          <w:p w14:paraId="4545BA72">
            <w:pPr>
              <w:adjustRightInd w:val="0"/>
              <w:spacing w:line="40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操作员视力、体力容易疲劳</w:t>
            </w:r>
          </w:p>
        </w:tc>
      </w:tr>
    </w:tbl>
    <w:p w14:paraId="2BCA8605">
      <w:pPr>
        <w:spacing w:line="52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以下为特殊成像方式风险点控制方式举例（表3.2- 3.4），</w:t>
      </w:r>
      <w:r>
        <w:rPr>
          <w:rFonts w:ascii="Times New Roman" w:hAnsi="Times New Roman" w:eastAsia="仿宋_GB2312" w:cs="Times New Roman"/>
          <w:color w:val="000000" w:themeColor="text1"/>
          <w:kern w:val="0"/>
          <w:sz w:val="32"/>
          <w:szCs w:val="32"/>
          <w14:textFill>
            <w14:solidFill>
              <w14:schemeClr w14:val="tx1"/>
            </w14:solidFill>
          </w14:textFill>
        </w:rPr>
        <w:t>并未包含所有风险点，且这些风险点未必适用于所有设备，控制方式也不做强制限定，仅为举例，用以企业进行风险管理时作为参考。</w:t>
      </w:r>
    </w:p>
    <w:p w14:paraId="64BFC4FE">
      <w:pPr>
        <w:pStyle w:val="2"/>
        <w:spacing w:line="400" w:lineRule="exact"/>
        <w:rPr>
          <w:color w:val="000000" w:themeColor="text1"/>
          <w14:textFill>
            <w14:solidFill>
              <w14:schemeClr w14:val="tx1"/>
            </w14:solidFill>
          </w14:textFill>
        </w:rPr>
      </w:pPr>
    </w:p>
    <w:p w14:paraId="440DA562">
      <w:pPr>
        <w:spacing w:line="400" w:lineRule="exact"/>
        <w:ind w:firstLine="560" w:firstLineChars="200"/>
        <w:jc w:val="center"/>
        <w:rPr>
          <w:rFonts w:ascii="Times New Roman" w:hAnsi="Times New Roman" w:eastAsia="方正小标宋简体" w:cs="Times New Roman"/>
          <w:color w:val="000000" w:themeColor="text1"/>
          <w:sz w:val="28"/>
          <w:szCs w:val="28"/>
          <w14:textFill>
            <w14:solidFill>
              <w14:schemeClr w14:val="tx1"/>
            </w14:solidFill>
          </w14:textFill>
        </w:rPr>
      </w:pPr>
      <w:r>
        <w:rPr>
          <w:rFonts w:ascii="Times New Roman" w:hAnsi="Times New Roman" w:eastAsia="方正小标宋简体" w:cs="Times New Roman"/>
          <w:color w:val="000000" w:themeColor="text1"/>
          <w:sz w:val="28"/>
          <w:szCs w:val="28"/>
          <w14:textFill>
            <w14:solidFill>
              <w14:schemeClr w14:val="tx1"/>
            </w14:solidFill>
          </w14:textFill>
        </w:rPr>
        <w:t>表3.2 三维成像风险点举例</w:t>
      </w:r>
    </w:p>
    <w:tbl>
      <w:tblPr>
        <w:tblStyle w:val="8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5"/>
        <w:gridCol w:w="4111"/>
      </w:tblGrid>
      <w:tr w14:paraId="6A24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5A8E8AA0">
            <w:pPr>
              <w:spacing w:line="400" w:lineRule="exact"/>
              <w:jc w:val="center"/>
              <w:rPr>
                <w:rFonts w:ascii="Times New Roman" w:hAnsi="Times New Roman" w:eastAsia="黑体" w:cs="Times New Roman"/>
                <w:bCs/>
                <w:color w:val="000000" w:themeColor="text1"/>
                <w:sz w:val="28"/>
                <w:szCs w:val="28"/>
                <w14:textFill>
                  <w14:solidFill>
                    <w14:schemeClr w14:val="tx1"/>
                  </w14:solidFill>
                </w14:textFill>
              </w:rPr>
            </w:pPr>
            <w:r>
              <w:rPr>
                <w:rFonts w:ascii="Times New Roman" w:hAnsi="Times New Roman" w:eastAsia="黑体" w:cs="Times New Roman"/>
                <w:bCs/>
                <w:color w:val="000000" w:themeColor="text1"/>
                <w:sz w:val="28"/>
                <w:szCs w:val="28"/>
                <w14:textFill>
                  <w14:solidFill>
                    <w14:schemeClr w14:val="tx1"/>
                  </w14:solidFill>
                </w14:textFill>
              </w:rPr>
              <w:t>序号</w:t>
            </w:r>
          </w:p>
        </w:tc>
        <w:tc>
          <w:tcPr>
            <w:tcW w:w="3685" w:type="dxa"/>
            <w:shd w:val="clear" w:color="auto" w:fill="auto"/>
          </w:tcPr>
          <w:p w14:paraId="2968F6CA">
            <w:pPr>
              <w:spacing w:line="400" w:lineRule="exact"/>
              <w:jc w:val="center"/>
              <w:rPr>
                <w:rFonts w:ascii="Times New Roman" w:hAnsi="Times New Roman" w:eastAsia="黑体" w:cs="Times New Roman"/>
                <w:bCs/>
                <w:color w:val="000000" w:themeColor="text1"/>
                <w:sz w:val="28"/>
                <w:szCs w:val="28"/>
                <w14:textFill>
                  <w14:solidFill>
                    <w14:schemeClr w14:val="tx1"/>
                  </w14:solidFill>
                </w14:textFill>
              </w:rPr>
            </w:pPr>
            <w:r>
              <w:rPr>
                <w:rFonts w:ascii="Times New Roman" w:hAnsi="Times New Roman" w:eastAsia="黑体" w:cs="Times New Roman"/>
                <w:bCs/>
                <w:color w:val="000000" w:themeColor="text1"/>
                <w:sz w:val="28"/>
                <w:szCs w:val="28"/>
                <w14:textFill>
                  <w14:solidFill>
                    <w14:schemeClr w14:val="tx1"/>
                  </w14:solidFill>
                </w14:textFill>
              </w:rPr>
              <w:t>风险点</w:t>
            </w:r>
          </w:p>
        </w:tc>
        <w:tc>
          <w:tcPr>
            <w:tcW w:w="4111" w:type="dxa"/>
            <w:shd w:val="clear" w:color="auto" w:fill="auto"/>
          </w:tcPr>
          <w:p w14:paraId="3AD074FB">
            <w:pPr>
              <w:spacing w:line="400" w:lineRule="exact"/>
              <w:jc w:val="center"/>
              <w:rPr>
                <w:rFonts w:ascii="Times New Roman" w:hAnsi="Times New Roman" w:eastAsia="黑体" w:cs="Times New Roman"/>
                <w:bCs/>
                <w:color w:val="000000" w:themeColor="text1"/>
                <w:sz w:val="28"/>
                <w:szCs w:val="28"/>
                <w14:textFill>
                  <w14:solidFill>
                    <w14:schemeClr w14:val="tx1"/>
                  </w14:solidFill>
                </w14:textFill>
              </w:rPr>
            </w:pPr>
            <w:r>
              <w:rPr>
                <w:rFonts w:ascii="Times New Roman" w:hAnsi="Times New Roman" w:eastAsia="黑体" w:cs="Times New Roman"/>
                <w:bCs/>
                <w:color w:val="000000" w:themeColor="text1"/>
                <w:sz w:val="28"/>
                <w:szCs w:val="28"/>
                <w14:textFill>
                  <w14:solidFill>
                    <w14:schemeClr w14:val="tx1"/>
                  </w14:solidFill>
                </w14:textFill>
              </w:rPr>
              <w:t>控制方式</w:t>
            </w:r>
          </w:p>
        </w:tc>
      </w:tr>
      <w:tr w14:paraId="6622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959" w:type="dxa"/>
            <w:shd w:val="clear" w:color="auto" w:fill="auto"/>
            <w:vAlign w:val="center"/>
          </w:tcPr>
          <w:p w14:paraId="183F73A8">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1</w:t>
            </w:r>
          </w:p>
        </w:tc>
        <w:tc>
          <w:tcPr>
            <w:tcW w:w="3685" w:type="dxa"/>
            <w:shd w:val="clear" w:color="auto" w:fill="auto"/>
            <w:vAlign w:val="center"/>
          </w:tcPr>
          <w:p w14:paraId="5544BF68">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在3D/4D成像时，使用了不同病人的图像生成三维图像，导致误诊。</w:t>
            </w:r>
          </w:p>
        </w:tc>
        <w:tc>
          <w:tcPr>
            <w:tcW w:w="4111" w:type="dxa"/>
            <w:shd w:val="clear" w:color="auto" w:fill="auto"/>
            <w:vAlign w:val="center"/>
          </w:tcPr>
          <w:p w14:paraId="496FEEA5">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设计控制在同一时刻系统只存在一个当前病人。（病人管理和检查管理）</w:t>
            </w:r>
          </w:p>
        </w:tc>
      </w:tr>
      <w:tr w14:paraId="4506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67A001D2">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w:t>
            </w:r>
          </w:p>
        </w:tc>
        <w:tc>
          <w:tcPr>
            <w:tcW w:w="3685" w:type="dxa"/>
            <w:shd w:val="clear" w:color="auto" w:fill="auto"/>
            <w:vAlign w:val="center"/>
          </w:tcPr>
          <w:p w14:paraId="0072BC8B">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在3D/4D成像时，生成的三维图像和实际图像不符合而导致误诊。</w:t>
            </w:r>
          </w:p>
        </w:tc>
        <w:tc>
          <w:tcPr>
            <w:tcW w:w="4111" w:type="dxa"/>
            <w:shd w:val="clear" w:color="auto" w:fill="auto"/>
            <w:vAlign w:val="center"/>
          </w:tcPr>
          <w:p w14:paraId="4CB7DF83">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在操作手册中说明，三维图像的正确性受外在环境的影响很大，所以三维图像对医生仅具有参考价值，不能直接确诊，一般和其他机器进行对比，或采用非超声手段进行确诊。</w:t>
            </w:r>
          </w:p>
        </w:tc>
      </w:tr>
      <w:tr w14:paraId="3594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959" w:type="dxa"/>
            <w:shd w:val="clear" w:color="auto" w:fill="auto"/>
            <w:vAlign w:val="center"/>
          </w:tcPr>
          <w:p w14:paraId="23CB8F02">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3</w:t>
            </w:r>
          </w:p>
        </w:tc>
        <w:tc>
          <w:tcPr>
            <w:tcW w:w="3685" w:type="dxa"/>
            <w:shd w:val="clear" w:color="auto" w:fill="auto"/>
            <w:vAlign w:val="center"/>
          </w:tcPr>
          <w:p w14:paraId="5339F2E7">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自动体积计算需要一段时间，在计算过程中，如果用户不小心调节参数，会导致计算结果不准确，造成误诊。</w:t>
            </w:r>
          </w:p>
        </w:tc>
        <w:tc>
          <w:tcPr>
            <w:tcW w:w="4111" w:type="dxa"/>
            <w:shd w:val="clear" w:color="auto" w:fill="auto"/>
            <w:vAlign w:val="center"/>
          </w:tcPr>
          <w:p w14:paraId="71286414">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自动体积计算过程，屏蔽参数调节。</w:t>
            </w:r>
          </w:p>
        </w:tc>
      </w:tr>
      <w:tr w14:paraId="4313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12FA5AE2">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4</w:t>
            </w:r>
          </w:p>
        </w:tc>
        <w:tc>
          <w:tcPr>
            <w:tcW w:w="3685" w:type="dxa"/>
            <w:shd w:val="clear" w:color="auto" w:fill="auto"/>
            <w:vAlign w:val="center"/>
          </w:tcPr>
          <w:p w14:paraId="297D4A8C">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彩色3D等功能采集需要一段时间，在采集过程中，如果用户不小心移动轨迹球，会导致ROI变化，就会影响成像准确性，造成误诊。</w:t>
            </w:r>
          </w:p>
        </w:tc>
        <w:tc>
          <w:tcPr>
            <w:tcW w:w="4111" w:type="dxa"/>
            <w:shd w:val="clear" w:color="auto" w:fill="auto"/>
            <w:vAlign w:val="center"/>
          </w:tcPr>
          <w:p w14:paraId="46A1AA69">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彩色3D等功能采集过程，屏蔽ROI调节。</w:t>
            </w:r>
          </w:p>
        </w:tc>
      </w:tr>
    </w:tbl>
    <w:p w14:paraId="0C48EE33">
      <w:pPr>
        <w:spacing w:line="400" w:lineRule="exact"/>
        <w:jc w:val="center"/>
        <w:rPr>
          <w:rFonts w:ascii="Times New Roman" w:hAnsi="Times New Roman" w:eastAsia="黑体" w:cs="Times New Roman"/>
          <w:color w:val="000000" w:themeColor="text1"/>
          <w:sz w:val="28"/>
          <w:szCs w:val="28"/>
          <w14:textFill>
            <w14:solidFill>
              <w14:schemeClr w14:val="tx1"/>
            </w14:solidFill>
          </w14:textFill>
        </w:rPr>
      </w:pPr>
    </w:p>
    <w:p w14:paraId="6AB743D7">
      <w:pPr>
        <w:spacing w:line="400" w:lineRule="exact"/>
        <w:jc w:val="center"/>
        <w:rPr>
          <w:rFonts w:ascii="Times New Roman" w:hAnsi="Times New Roman" w:eastAsia="方正小标宋简体" w:cs="Times New Roman"/>
          <w:color w:val="000000" w:themeColor="text1"/>
          <w:sz w:val="28"/>
          <w:szCs w:val="28"/>
          <w14:textFill>
            <w14:solidFill>
              <w14:schemeClr w14:val="tx1"/>
            </w14:solidFill>
          </w14:textFill>
        </w:rPr>
      </w:pPr>
      <w:r>
        <w:rPr>
          <w:rFonts w:ascii="Times New Roman" w:hAnsi="Times New Roman" w:eastAsia="方正小标宋简体" w:cs="Times New Roman"/>
          <w:color w:val="000000" w:themeColor="text1"/>
          <w:sz w:val="28"/>
          <w:szCs w:val="28"/>
          <w14:textFill>
            <w14:solidFill>
              <w14:schemeClr w14:val="tx1"/>
            </w14:solidFill>
          </w14:textFill>
        </w:rPr>
        <w:t>表3.3 造影成像风险点举例</w:t>
      </w:r>
    </w:p>
    <w:tbl>
      <w:tblPr>
        <w:tblStyle w:val="88"/>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6"/>
        <w:gridCol w:w="4111"/>
      </w:tblGrid>
      <w:tr w14:paraId="7B0A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59" w:type="dxa"/>
            <w:shd w:val="clear" w:color="auto" w:fill="auto"/>
            <w:vAlign w:val="center"/>
          </w:tcPr>
          <w:p w14:paraId="13B28353">
            <w:pPr>
              <w:spacing w:line="400" w:lineRule="exact"/>
              <w:jc w:val="center"/>
              <w:rPr>
                <w:rFonts w:ascii="Times New Roman" w:hAnsi="Times New Roman" w:eastAsia="黑体" w:cs="Times New Roman"/>
                <w:bCs/>
                <w:color w:val="000000" w:themeColor="text1"/>
                <w:sz w:val="28"/>
                <w:szCs w:val="28"/>
                <w14:textFill>
                  <w14:solidFill>
                    <w14:schemeClr w14:val="tx1"/>
                  </w14:solidFill>
                </w14:textFill>
              </w:rPr>
            </w:pPr>
            <w:r>
              <w:rPr>
                <w:rFonts w:ascii="Times New Roman" w:hAnsi="Times New Roman" w:eastAsia="黑体" w:cs="Times New Roman"/>
                <w:bCs/>
                <w:color w:val="000000" w:themeColor="text1"/>
                <w:sz w:val="28"/>
                <w:szCs w:val="28"/>
                <w14:textFill>
                  <w14:solidFill>
                    <w14:schemeClr w14:val="tx1"/>
                  </w14:solidFill>
                </w14:textFill>
              </w:rPr>
              <w:t>序号</w:t>
            </w:r>
          </w:p>
        </w:tc>
        <w:tc>
          <w:tcPr>
            <w:tcW w:w="3686" w:type="dxa"/>
            <w:shd w:val="clear" w:color="auto" w:fill="auto"/>
          </w:tcPr>
          <w:p w14:paraId="4264B010">
            <w:pPr>
              <w:spacing w:line="400" w:lineRule="exact"/>
              <w:jc w:val="center"/>
              <w:rPr>
                <w:rFonts w:ascii="Times New Roman" w:hAnsi="Times New Roman" w:eastAsia="黑体" w:cs="Times New Roman"/>
                <w:bCs/>
                <w:color w:val="000000" w:themeColor="text1"/>
                <w:sz w:val="28"/>
                <w:szCs w:val="28"/>
                <w14:textFill>
                  <w14:solidFill>
                    <w14:schemeClr w14:val="tx1"/>
                  </w14:solidFill>
                </w14:textFill>
              </w:rPr>
            </w:pPr>
            <w:r>
              <w:rPr>
                <w:rFonts w:ascii="Times New Roman" w:hAnsi="Times New Roman" w:eastAsia="黑体" w:cs="Times New Roman"/>
                <w:bCs/>
                <w:color w:val="000000" w:themeColor="text1"/>
                <w:sz w:val="28"/>
                <w:szCs w:val="28"/>
                <w14:textFill>
                  <w14:solidFill>
                    <w14:schemeClr w14:val="tx1"/>
                  </w14:solidFill>
                </w14:textFill>
              </w:rPr>
              <w:t>风险点</w:t>
            </w:r>
          </w:p>
        </w:tc>
        <w:tc>
          <w:tcPr>
            <w:tcW w:w="4111" w:type="dxa"/>
            <w:shd w:val="clear" w:color="auto" w:fill="auto"/>
          </w:tcPr>
          <w:p w14:paraId="2BC33666">
            <w:pPr>
              <w:spacing w:line="400" w:lineRule="exact"/>
              <w:jc w:val="center"/>
              <w:rPr>
                <w:rFonts w:ascii="Times New Roman" w:hAnsi="Times New Roman" w:eastAsia="黑体" w:cs="Times New Roman"/>
                <w:bCs/>
                <w:color w:val="000000" w:themeColor="text1"/>
                <w:sz w:val="28"/>
                <w:szCs w:val="28"/>
                <w14:textFill>
                  <w14:solidFill>
                    <w14:schemeClr w14:val="tx1"/>
                  </w14:solidFill>
                </w14:textFill>
              </w:rPr>
            </w:pPr>
            <w:r>
              <w:rPr>
                <w:rFonts w:ascii="Times New Roman" w:hAnsi="Times New Roman" w:eastAsia="黑体" w:cs="Times New Roman"/>
                <w:bCs/>
                <w:color w:val="000000" w:themeColor="text1"/>
                <w:sz w:val="28"/>
                <w:szCs w:val="28"/>
                <w14:textFill>
                  <w14:solidFill>
                    <w14:schemeClr w14:val="tx1"/>
                  </w14:solidFill>
                </w14:textFill>
              </w:rPr>
              <w:t>控制方式</w:t>
            </w:r>
          </w:p>
        </w:tc>
      </w:tr>
      <w:tr w14:paraId="64C9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959" w:type="dxa"/>
            <w:shd w:val="clear" w:color="auto" w:fill="auto"/>
            <w:vAlign w:val="center"/>
          </w:tcPr>
          <w:p w14:paraId="619D7C27">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1</w:t>
            </w:r>
          </w:p>
        </w:tc>
        <w:tc>
          <w:tcPr>
            <w:tcW w:w="3686" w:type="dxa"/>
            <w:shd w:val="clear" w:color="auto" w:fill="auto"/>
            <w:vAlign w:val="center"/>
          </w:tcPr>
          <w:p w14:paraId="71B0D42F">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在诊断范围内的MI下使用超声造影剂可能造成心率失常。</w:t>
            </w:r>
          </w:p>
        </w:tc>
        <w:tc>
          <w:tcPr>
            <w:tcW w:w="4111" w:type="dxa"/>
            <w:shd w:val="clear" w:color="auto" w:fill="auto"/>
            <w:vAlign w:val="center"/>
          </w:tcPr>
          <w:p w14:paraId="27C8FE1F">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应在说明书中增加相关注意事项，并提醒用户查看造影剂包装获得相关详细信息。</w:t>
            </w:r>
          </w:p>
        </w:tc>
      </w:tr>
      <w:tr w14:paraId="7CC9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26FAFD67">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w:t>
            </w:r>
          </w:p>
        </w:tc>
        <w:tc>
          <w:tcPr>
            <w:tcW w:w="3686" w:type="dxa"/>
            <w:shd w:val="clear" w:color="auto" w:fill="auto"/>
            <w:vAlign w:val="center"/>
          </w:tcPr>
          <w:p w14:paraId="05D81557">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造影成像质量不佳，成像不清晰或不正确，导致误诊（比如在定量分析时错误选取可疑组织区域和正常组织区域）。</w:t>
            </w:r>
          </w:p>
        </w:tc>
        <w:tc>
          <w:tcPr>
            <w:tcW w:w="4111" w:type="dxa"/>
            <w:shd w:val="clear" w:color="auto" w:fill="auto"/>
            <w:vAlign w:val="center"/>
          </w:tcPr>
          <w:p w14:paraId="4DB75191">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手册中说明：注射造影剂前需要预置好成像参数，以避免造影过程中调节参数，影响造影过程图像的一致性；</w:t>
            </w:r>
          </w:p>
          <w:p w14:paraId="0CC112E7">
            <w:pPr>
              <w:spacing w:line="400" w:lineRule="exact"/>
              <w:rPr>
                <w:rFonts w:ascii="Times New Roman" w:hAnsi="Times New Roman" w:eastAsia="仿宋_GB2312" w:cs="Times New Roman"/>
                <w:bCs/>
                <w:color w:val="000000" w:themeColor="text1"/>
                <w:spacing w:val="-4"/>
                <w:sz w:val="28"/>
                <w:szCs w:val="28"/>
                <w14:textFill>
                  <w14:solidFill>
                    <w14:schemeClr w14:val="tx1"/>
                  </w14:solidFill>
                </w14:textFill>
              </w:rPr>
            </w:pPr>
            <w:r>
              <w:rPr>
                <w:rFonts w:ascii="Times New Roman" w:hAnsi="Times New Roman" w:eastAsia="仿宋_GB2312" w:cs="Times New Roman"/>
                <w:bCs/>
                <w:color w:val="000000" w:themeColor="text1"/>
                <w:spacing w:val="-4"/>
                <w:sz w:val="28"/>
                <w:szCs w:val="28"/>
                <w14:textFill>
                  <w14:solidFill>
                    <w14:schemeClr w14:val="tx1"/>
                  </w14:solidFill>
                </w14:textFill>
              </w:rPr>
              <w:t>在操作手册中说明，造影图像对医生仅具有参考价值，不能直接确诊，一般和其他机器进行对比，或采用非超声手段进行确诊；</w:t>
            </w:r>
          </w:p>
          <w:p w14:paraId="65FED89F">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并增加相关的培训。</w:t>
            </w:r>
          </w:p>
        </w:tc>
      </w:tr>
      <w:tr w14:paraId="4049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9" w:type="dxa"/>
            <w:shd w:val="clear" w:color="auto" w:fill="auto"/>
            <w:vAlign w:val="center"/>
          </w:tcPr>
          <w:p w14:paraId="4C161238">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3</w:t>
            </w:r>
          </w:p>
        </w:tc>
        <w:tc>
          <w:tcPr>
            <w:tcW w:w="3686" w:type="dxa"/>
            <w:shd w:val="clear" w:color="auto" w:fill="auto"/>
            <w:vAlign w:val="center"/>
          </w:tcPr>
          <w:p w14:paraId="05C5D513">
            <w:pPr>
              <w:spacing w:line="400" w:lineRule="exact"/>
              <w:rPr>
                <w:rFonts w:ascii="Times New Roman" w:hAnsi="Times New Roman" w:eastAsia="仿宋_GB2312" w:cs="Times New Roman"/>
                <w:bCs/>
                <w:color w:val="000000" w:themeColor="text1"/>
                <w:spacing w:val="-6"/>
                <w:sz w:val="28"/>
                <w:szCs w:val="28"/>
                <w14:textFill>
                  <w14:solidFill>
                    <w14:schemeClr w14:val="tx1"/>
                  </w14:solidFill>
                </w14:textFill>
              </w:rPr>
            </w:pPr>
            <w:r>
              <w:rPr>
                <w:rFonts w:ascii="Times New Roman" w:hAnsi="Times New Roman" w:eastAsia="仿宋_GB2312" w:cs="Times New Roman"/>
                <w:bCs/>
                <w:color w:val="000000" w:themeColor="text1"/>
                <w:spacing w:val="-6"/>
                <w:sz w:val="28"/>
                <w:szCs w:val="28"/>
                <w14:textFill>
                  <w14:solidFill>
                    <w14:schemeClr w14:val="tx1"/>
                  </w14:solidFill>
                </w14:textFill>
              </w:rPr>
              <w:t>造影检查过程中，计时器不准或失效，导致检查过程失败。</w:t>
            </w:r>
          </w:p>
        </w:tc>
        <w:tc>
          <w:tcPr>
            <w:tcW w:w="4111" w:type="dxa"/>
            <w:shd w:val="clear" w:color="auto" w:fill="auto"/>
            <w:vAlign w:val="center"/>
          </w:tcPr>
          <w:p w14:paraId="118BEE81">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设计确保计时器计时功能正确。</w:t>
            </w:r>
          </w:p>
        </w:tc>
      </w:tr>
      <w:tr w14:paraId="1525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6171BF64">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4</w:t>
            </w:r>
          </w:p>
        </w:tc>
        <w:tc>
          <w:tcPr>
            <w:tcW w:w="3686" w:type="dxa"/>
            <w:shd w:val="clear" w:color="auto" w:fill="auto"/>
            <w:vAlign w:val="center"/>
          </w:tcPr>
          <w:p w14:paraId="63C85989">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组织和造影图像的显示效果混合，混合的图像不是同一时刻的解剖图，错误定位感兴趣的造影区在组织中的解剖位置，可能导致误诊。</w:t>
            </w:r>
          </w:p>
        </w:tc>
        <w:tc>
          <w:tcPr>
            <w:tcW w:w="4111" w:type="dxa"/>
            <w:shd w:val="clear" w:color="auto" w:fill="auto"/>
            <w:vAlign w:val="center"/>
          </w:tcPr>
          <w:p w14:paraId="181FC06D">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造影的双幅实时显示同步，使用同一个回放进度条。</w:t>
            </w:r>
          </w:p>
        </w:tc>
      </w:tr>
      <w:tr w14:paraId="75F4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68F84908">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5</w:t>
            </w:r>
          </w:p>
        </w:tc>
        <w:tc>
          <w:tcPr>
            <w:tcW w:w="3686" w:type="dxa"/>
            <w:shd w:val="clear" w:color="auto" w:fill="auto"/>
            <w:vAlign w:val="center"/>
          </w:tcPr>
          <w:p w14:paraId="1816B736">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造影定量分析中标记于组织图像和造影图像的ROI实际关联指示的区域不是同一时刻的解剖位置，对比参照错误，可能导致误诊。</w:t>
            </w:r>
          </w:p>
        </w:tc>
        <w:tc>
          <w:tcPr>
            <w:tcW w:w="4111" w:type="dxa"/>
            <w:shd w:val="clear" w:color="auto" w:fill="auto"/>
            <w:vAlign w:val="center"/>
          </w:tcPr>
          <w:p w14:paraId="3A7F5D65">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造影的双幅实时显示同步，使用同一个回放进度条；</w:t>
            </w:r>
          </w:p>
          <w:p w14:paraId="432ED02C">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ROI在组织图像和造影图像上同步关联显示。</w:t>
            </w:r>
          </w:p>
        </w:tc>
      </w:tr>
      <w:tr w14:paraId="4A28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50E9C921">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6</w:t>
            </w:r>
          </w:p>
        </w:tc>
        <w:tc>
          <w:tcPr>
            <w:tcW w:w="3686" w:type="dxa"/>
            <w:shd w:val="clear" w:color="auto" w:fill="auto"/>
            <w:vAlign w:val="center"/>
          </w:tcPr>
          <w:p w14:paraId="33D5D420">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造影击破，通过触发启动系统发射高机械指数脉冲串，对击破电压和击破过程时间控制不适当，超过安全值，引起组织伤害。</w:t>
            </w:r>
          </w:p>
        </w:tc>
        <w:tc>
          <w:tcPr>
            <w:tcW w:w="4111" w:type="dxa"/>
            <w:shd w:val="clear" w:color="auto" w:fill="auto"/>
            <w:vAlign w:val="center"/>
          </w:tcPr>
          <w:p w14:paraId="2D37A100">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按照声输出安全要求，控制击破过程时间中造影击破下的声输出水平（主要是击破电压水平及机械指数）。（实际为了保证造影微泡的存活，造影成像的声发射水平还要低于常规成像的声发射水平。）</w:t>
            </w:r>
          </w:p>
        </w:tc>
      </w:tr>
      <w:tr w14:paraId="0B15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0459B8AB">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7</w:t>
            </w:r>
          </w:p>
        </w:tc>
        <w:tc>
          <w:tcPr>
            <w:tcW w:w="3686" w:type="dxa"/>
            <w:shd w:val="clear" w:color="auto" w:fill="auto"/>
            <w:vAlign w:val="center"/>
          </w:tcPr>
          <w:p w14:paraId="010E1C04">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造影剂过敏。</w:t>
            </w:r>
          </w:p>
        </w:tc>
        <w:tc>
          <w:tcPr>
            <w:tcW w:w="4111" w:type="dxa"/>
            <w:shd w:val="clear" w:color="auto" w:fill="auto"/>
            <w:vAlign w:val="center"/>
          </w:tcPr>
          <w:p w14:paraId="15557928">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提醒医生如果发现病人过敏，医生要立即采取措施。</w:t>
            </w:r>
          </w:p>
        </w:tc>
      </w:tr>
    </w:tbl>
    <w:p w14:paraId="5E1339F3">
      <w:pPr>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p>
    <w:p w14:paraId="7BF0CC50">
      <w:pPr>
        <w:spacing w:line="400" w:lineRule="exact"/>
        <w:jc w:val="center"/>
        <w:rPr>
          <w:rFonts w:ascii="Times New Roman" w:hAnsi="Times New Roman" w:eastAsia="仿宋_GB2312" w:cs="Times New Roman"/>
          <w:color w:val="000000" w:themeColor="text1"/>
          <w:sz w:val="28"/>
          <w:szCs w:val="28"/>
          <w14:textFill>
            <w14:solidFill>
              <w14:schemeClr w14:val="tx1"/>
            </w14:solidFill>
          </w14:textFill>
        </w:rPr>
      </w:pPr>
    </w:p>
    <w:p w14:paraId="671AB501">
      <w:pPr>
        <w:spacing w:line="400" w:lineRule="exact"/>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表3.4 弹性成像风险点举例</w:t>
      </w:r>
    </w:p>
    <w:tbl>
      <w:tblPr>
        <w:tblStyle w:val="8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5"/>
        <w:gridCol w:w="4111"/>
      </w:tblGrid>
      <w:tr w14:paraId="1B6A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59" w:type="dxa"/>
            <w:shd w:val="clear" w:color="auto" w:fill="auto"/>
            <w:vAlign w:val="center"/>
          </w:tcPr>
          <w:p w14:paraId="069ECF5E">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序号</w:t>
            </w:r>
          </w:p>
        </w:tc>
        <w:tc>
          <w:tcPr>
            <w:tcW w:w="3685" w:type="dxa"/>
            <w:shd w:val="clear" w:color="auto" w:fill="auto"/>
          </w:tcPr>
          <w:p w14:paraId="1586011F">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风险点</w:t>
            </w:r>
          </w:p>
        </w:tc>
        <w:tc>
          <w:tcPr>
            <w:tcW w:w="4111" w:type="dxa"/>
            <w:shd w:val="clear" w:color="auto" w:fill="auto"/>
          </w:tcPr>
          <w:p w14:paraId="50E5D009">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控制方式</w:t>
            </w:r>
          </w:p>
        </w:tc>
      </w:tr>
      <w:tr w14:paraId="7C1B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6CEAF6E4">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1</w:t>
            </w:r>
          </w:p>
        </w:tc>
        <w:tc>
          <w:tcPr>
            <w:tcW w:w="3685" w:type="dxa"/>
            <w:shd w:val="clear" w:color="auto" w:fill="auto"/>
            <w:vAlign w:val="center"/>
          </w:tcPr>
          <w:p w14:paraId="0D0E6777">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弹性图像成像效果不好或者不正确，导致误诊。</w:t>
            </w:r>
          </w:p>
        </w:tc>
        <w:tc>
          <w:tcPr>
            <w:tcW w:w="4111" w:type="dxa"/>
            <w:shd w:val="clear" w:color="auto" w:fill="auto"/>
            <w:vAlign w:val="center"/>
          </w:tcPr>
          <w:p w14:paraId="7CA40396">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在操作手册中说明：</w:t>
            </w:r>
          </w:p>
          <w:p w14:paraId="3B2A9D02">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1．弹性成像的操作要求；</w:t>
            </w:r>
          </w:p>
          <w:p w14:paraId="6CD637F5">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2．弹性图像对医生仅具有参考价值，不能直接确诊，一般和其他机器进行对比，或采用非超声手段进行确诊。</w:t>
            </w:r>
          </w:p>
        </w:tc>
      </w:tr>
      <w:tr w14:paraId="6DA0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959" w:type="dxa"/>
            <w:shd w:val="clear" w:color="auto" w:fill="auto"/>
            <w:vAlign w:val="center"/>
          </w:tcPr>
          <w:p w14:paraId="3D7147F5">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w:t>
            </w:r>
          </w:p>
        </w:tc>
        <w:tc>
          <w:tcPr>
            <w:tcW w:w="3685" w:type="dxa"/>
            <w:shd w:val="clear" w:color="auto" w:fill="auto"/>
            <w:vAlign w:val="center"/>
          </w:tcPr>
          <w:p w14:paraId="3DE26822">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ROI范围设置不足，未充分包括病灶及周围正常组织，不能充分体现相对硬度，导致误诊。</w:t>
            </w:r>
          </w:p>
        </w:tc>
        <w:tc>
          <w:tcPr>
            <w:tcW w:w="4111" w:type="dxa"/>
            <w:shd w:val="clear" w:color="auto" w:fill="auto"/>
            <w:vAlign w:val="center"/>
          </w:tcPr>
          <w:p w14:paraId="31C1A9EF">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操作手册中要提示设置合理的ROI，一般为病灶尺寸的2倍以上。</w:t>
            </w:r>
          </w:p>
        </w:tc>
      </w:tr>
      <w:tr w14:paraId="28CE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3" w:hRule="atLeast"/>
          <w:jc w:val="center"/>
        </w:trPr>
        <w:tc>
          <w:tcPr>
            <w:tcW w:w="959" w:type="dxa"/>
            <w:shd w:val="clear" w:color="auto" w:fill="auto"/>
            <w:vAlign w:val="center"/>
          </w:tcPr>
          <w:p w14:paraId="53452812">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3</w:t>
            </w:r>
          </w:p>
        </w:tc>
        <w:tc>
          <w:tcPr>
            <w:tcW w:w="3685" w:type="dxa"/>
            <w:shd w:val="clear" w:color="auto" w:fill="auto"/>
            <w:vAlign w:val="center"/>
          </w:tcPr>
          <w:p w14:paraId="1F1F2A8F">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压力大小和压放频率施加不适当（过轻，容易将良性组织误判为病变组织；过重，容易将病变组织误判为良性组织），导致误诊。</w:t>
            </w:r>
          </w:p>
        </w:tc>
        <w:tc>
          <w:tcPr>
            <w:tcW w:w="4111" w:type="dxa"/>
            <w:shd w:val="clear" w:color="auto" w:fill="auto"/>
            <w:vAlign w:val="center"/>
          </w:tcPr>
          <w:p w14:paraId="09B078A2">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系统实时显示压力位移条或压力位移曲线；</w:t>
            </w:r>
          </w:p>
          <w:p w14:paraId="521099AB">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位移不设最大最小值，依据曲线是否平滑且接近正弦波来判断施力情况；</w:t>
            </w:r>
          </w:p>
          <w:p w14:paraId="61E42583">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bookmarkStart w:id="12" w:name="OLE_LINK2"/>
            <w:bookmarkStart w:id="13" w:name="OLE_LINK1"/>
            <w:r>
              <w:rPr>
                <w:rFonts w:ascii="Times New Roman" w:hAnsi="Times New Roman" w:eastAsia="仿宋_GB2312" w:cs="Times New Roman"/>
                <w:bCs/>
                <w:color w:val="000000" w:themeColor="text1"/>
                <w:sz w:val="28"/>
                <w:szCs w:val="28"/>
                <w14:textFill>
                  <w14:solidFill>
                    <w14:schemeClr w14:val="tx1"/>
                  </w14:solidFill>
                </w14:textFill>
              </w:rPr>
              <w:t>在压力位移条或压力位移曲线中以颜色来指示图像质量，帮助用户判断质量较好的帧</w:t>
            </w:r>
            <w:bookmarkEnd w:id="12"/>
            <w:bookmarkEnd w:id="13"/>
            <w:r>
              <w:rPr>
                <w:rFonts w:ascii="Times New Roman" w:hAnsi="Times New Roman" w:eastAsia="仿宋_GB2312" w:cs="Times New Roman"/>
                <w:bCs/>
                <w:color w:val="000000" w:themeColor="text1"/>
                <w:sz w:val="28"/>
                <w:szCs w:val="28"/>
                <w14:textFill>
                  <w14:solidFill>
                    <w14:schemeClr w14:val="tx1"/>
                  </w14:solidFill>
                </w14:textFill>
              </w:rPr>
              <w:t>；</w:t>
            </w:r>
          </w:p>
          <w:p w14:paraId="087FFE1E">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在用户手册上有提醒用户注意的说明；</w:t>
            </w:r>
          </w:p>
          <w:p w14:paraId="31446B1D">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增加相关的培训。</w:t>
            </w:r>
          </w:p>
        </w:tc>
      </w:tr>
      <w:tr w14:paraId="64B1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959" w:type="dxa"/>
            <w:shd w:val="clear" w:color="auto" w:fill="auto"/>
            <w:vAlign w:val="center"/>
          </w:tcPr>
          <w:p w14:paraId="0266B99B">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4</w:t>
            </w:r>
          </w:p>
        </w:tc>
        <w:tc>
          <w:tcPr>
            <w:tcW w:w="3685" w:type="dxa"/>
            <w:shd w:val="clear" w:color="auto" w:fill="auto"/>
            <w:vAlign w:val="center"/>
          </w:tcPr>
          <w:p w14:paraId="39EB2196">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采用的彩色图谱色差过小，彩色弹性图填充色彩不易区分，弹性图像不清晰，引起误诊。</w:t>
            </w:r>
          </w:p>
        </w:tc>
        <w:tc>
          <w:tcPr>
            <w:tcW w:w="4111" w:type="dxa"/>
            <w:shd w:val="clear" w:color="auto" w:fill="auto"/>
            <w:vAlign w:val="center"/>
          </w:tcPr>
          <w:p w14:paraId="0C744CC4">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用于填充弹性图像的色彩图谱色差要大，易于区分不同组织。</w:t>
            </w:r>
          </w:p>
        </w:tc>
      </w:tr>
      <w:tr w14:paraId="6010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114A6695">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5</w:t>
            </w:r>
          </w:p>
        </w:tc>
        <w:tc>
          <w:tcPr>
            <w:tcW w:w="3685" w:type="dxa"/>
            <w:shd w:val="clear" w:color="auto" w:fill="auto"/>
            <w:vAlign w:val="center"/>
          </w:tcPr>
          <w:p w14:paraId="6E4E1A53">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采用的灰阶图谱亮度差别过小，灰阶图填充的图像亮度区域不易区分，弹性图像不清晰，引起误诊。</w:t>
            </w:r>
          </w:p>
        </w:tc>
        <w:tc>
          <w:tcPr>
            <w:tcW w:w="4111" w:type="dxa"/>
            <w:shd w:val="clear" w:color="auto" w:fill="auto"/>
            <w:vAlign w:val="center"/>
          </w:tcPr>
          <w:p w14:paraId="4554C4D5">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用于显示灰阶弹性图像的灰阶图谱亮度差别要大，易于区分不同组织。</w:t>
            </w:r>
          </w:p>
        </w:tc>
      </w:tr>
      <w:tr w14:paraId="60C4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61205C45">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6</w:t>
            </w:r>
          </w:p>
        </w:tc>
        <w:tc>
          <w:tcPr>
            <w:tcW w:w="3685" w:type="dxa"/>
            <w:shd w:val="clear" w:color="auto" w:fill="auto"/>
            <w:vAlign w:val="center"/>
          </w:tcPr>
          <w:p w14:paraId="3180B961">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手动施压带来的外来机械能可能对患者造成伤害。</w:t>
            </w:r>
          </w:p>
        </w:tc>
        <w:tc>
          <w:tcPr>
            <w:tcW w:w="4111" w:type="dxa"/>
            <w:shd w:val="clear" w:color="auto" w:fill="auto"/>
            <w:vAlign w:val="center"/>
          </w:tcPr>
          <w:p w14:paraId="325490CF">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通过用户手册和培训提高用户使用水平,减少探头运动速度和幅度；</w:t>
            </w:r>
          </w:p>
          <w:p w14:paraId="7144357B">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通过用户手册告知用户使用风险和适应证。</w:t>
            </w:r>
          </w:p>
        </w:tc>
      </w:tr>
      <w:tr w14:paraId="3F6B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71357052">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7</w:t>
            </w:r>
          </w:p>
        </w:tc>
        <w:tc>
          <w:tcPr>
            <w:tcW w:w="3685" w:type="dxa"/>
            <w:shd w:val="clear" w:color="auto" w:fill="auto"/>
            <w:vAlign w:val="center"/>
          </w:tcPr>
          <w:p w14:paraId="2A22E83C">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机电装置施压带来的外来机械能可能对患者造成伤害。</w:t>
            </w:r>
          </w:p>
        </w:tc>
        <w:tc>
          <w:tcPr>
            <w:tcW w:w="4111" w:type="dxa"/>
            <w:shd w:val="clear" w:color="auto" w:fill="auto"/>
            <w:vAlign w:val="center"/>
          </w:tcPr>
          <w:p w14:paraId="183415C0">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控制振动装置的运动速度和幅度；</w:t>
            </w:r>
          </w:p>
          <w:p w14:paraId="213312F6">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通过用户手册告知用户使用风险和适应证。</w:t>
            </w:r>
          </w:p>
        </w:tc>
      </w:tr>
      <w:tr w14:paraId="246A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0BE8D706">
            <w:pPr>
              <w:spacing w:line="400" w:lineRule="exact"/>
              <w:jc w:val="center"/>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8</w:t>
            </w:r>
          </w:p>
        </w:tc>
        <w:tc>
          <w:tcPr>
            <w:tcW w:w="3685" w:type="dxa"/>
            <w:shd w:val="clear" w:color="auto" w:fill="auto"/>
            <w:vAlign w:val="center"/>
          </w:tcPr>
          <w:p w14:paraId="7E8DAB10">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声输出超过诊断超声的水平，探头表面过热。</w:t>
            </w:r>
          </w:p>
        </w:tc>
        <w:tc>
          <w:tcPr>
            <w:tcW w:w="4111" w:type="dxa"/>
            <w:shd w:val="clear" w:color="auto" w:fill="auto"/>
            <w:vAlign w:val="center"/>
          </w:tcPr>
          <w:p w14:paraId="1BE87342">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弹性成像模式下声输出和探头表面温度条件的测试和报告；</w:t>
            </w:r>
          </w:p>
          <w:p w14:paraId="3F9A7AED">
            <w:pPr>
              <w:spacing w:line="400" w:lineRule="exact"/>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通过用户手册告知用户使用风险和适应证。</w:t>
            </w:r>
          </w:p>
        </w:tc>
      </w:tr>
    </w:tbl>
    <w:p w14:paraId="5CDEC0EA">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（五）明确风险可接收准则；</w:t>
      </w:r>
    </w:p>
    <w:p w14:paraId="689BC79E">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（六）对所判定的危害确定初始风险控制方案，列出控制措施实施证据清单；</w:t>
      </w:r>
    </w:p>
    <w:p w14:paraId="3B45E6D8">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（七）对采取控制措施后的剩余风险进行估计和评价；</w:t>
      </w:r>
    </w:p>
    <w:p w14:paraId="03B5BC45">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（八）风险评审小组全体成员应审核并确认评审结论。</w:t>
      </w:r>
      <w:bookmarkEnd w:id="0"/>
      <w:bookmarkEnd w:id="1"/>
      <w:bookmarkStart w:id="14" w:name="_Toc344475831"/>
      <w:bookmarkEnd w:id="14"/>
      <w:bookmarkStart w:id="15" w:name="前言"/>
      <w:bookmarkEnd w:id="15"/>
    </w:p>
    <w:p w14:paraId="6E0467B3">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（全文完）</w:t>
      </w:r>
    </w:p>
    <w:p w14:paraId="3A0B268E">
      <w:pPr>
        <w:spacing w:line="440" w:lineRule="exact"/>
        <w:ind w:firstLine="848" w:firstLineChars="404"/>
        <w:jc w:val="left"/>
        <w:rPr>
          <w:rFonts w:ascii="Times New Roman" w:hAnsi="Times New Roman" w:cs="Times New Roman"/>
          <w:color w:val="000000" w:themeColor="text1"/>
          <w14:textFill>
            <w14:solidFill>
              <w14:schemeClr w14:val="tx1"/>
            </w14:solidFill>
          </w14:textFill>
        </w:rPr>
      </w:pPr>
    </w:p>
    <w:sectPr>
      <w:pgSz w:w="11906" w:h="16838"/>
      <w:pgMar w:top="1701" w:right="1588" w:bottom="1701" w:left="1588"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0">
    <w:altName w:val="Malgun Gothic Semilight"/>
    <w:panose1 w:val="00000000000000000000"/>
    <w:charset w:val="86"/>
    <w:family w:val="swiss"/>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MS Shell Dlg">
    <w:altName w:val="Microsoft Sans Serif"/>
    <w:panose1 w:val="020B0604020202020204"/>
    <w:charset w:val="00"/>
    <w:family w:val="swiss"/>
    <w:pitch w:val="default"/>
    <w:sig w:usb0="00000000" w:usb1="00000000" w:usb2="00000008" w:usb3="00000000" w:csb0="000101FF" w:csb1="00000000"/>
  </w:font>
  <w:font w:name="MS Mincho">
    <w:altName w:val="Yu Gothic UI"/>
    <w:panose1 w:val="02020609040205080304"/>
    <w:charset w:val="80"/>
    <w:family w:val="modern"/>
    <w:pitch w:val="default"/>
    <w:sig w:usb0="00000000" w:usb1="00000000" w:usb2="08000012" w:usb3="00000000" w:csb0="0002009F" w:csb1="00000000"/>
  </w:font>
  <w:font w:name="楷体_GB2312">
    <w:altName w:val="楷体"/>
    <w:panose1 w:val="02010609030101010101"/>
    <w:charset w:val="86"/>
    <w:family w:val="modern"/>
    <w:pitch w:val="default"/>
    <w:sig w:usb0="00000000" w:usb1="00000000" w:usb2="00000010" w:usb3="00000000" w:csb0="00040000" w:csb1="00000000"/>
  </w:font>
  <w:font w:name="ËÎÌå">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8ED6A">
    <w:pPr>
      <w:pStyle w:val="57"/>
      <w:jc w:val="right"/>
    </w:pPr>
    <w:r>
      <w:rPr>
        <w:rFonts w:hint="eastAsia"/>
        <w:sz w:val="28"/>
        <w:szCs w:val="28"/>
      </w:rPr>
      <w:t>—</w:t>
    </w:r>
    <w:r>
      <w:rPr>
        <w:sz w:val="28"/>
        <w:szCs w:val="28"/>
      </w:rPr>
      <w:t xml:space="preserve"> </w:t>
    </w:r>
    <w:sdt>
      <w:sdtPr>
        <w:rPr>
          <w:rFonts w:ascii="Times New Roman" w:hAnsi="Times New Roman" w:cs="Times New Roman"/>
          <w:sz w:val="28"/>
          <w:szCs w:val="28"/>
        </w:rPr>
        <w:id w:val="1147320693"/>
      </w:sdtPr>
      <w:sdtEndPr>
        <w:rPr>
          <w:rFonts w:asciiTheme="minorHAnsi" w:hAnsiTheme="minorHAnsi" w:cstheme="minorBidi"/>
          <w:sz w:val="18"/>
          <w:szCs w:val="1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43</w:t>
        </w:r>
        <w:r>
          <w:rPr>
            <w:rFonts w:ascii="Times New Roman" w:hAnsi="Times New Roman" w:cs="Times New Roman"/>
            <w:sz w:val="28"/>
            <w:szCs w:val="28"/>
          </w:rPr>
          <w:fldChar w:fldCharType="end"/>
        </w:r>
        <w:r>
          <w:rPr>
            <w:sz w:val="28"/>
            <w:szCs w:val="28"/>
          </w:rPr>
          <w:t xml:space="preserve"> </w:t>
        </w:r>
        <w:r>
          <w:rPr>
            <w:rFonts w:hint="eastAsia"/>
            <w:sz w:val="28"/>
            <w:szCs w:val="28"/>
          </w:rPr>
          <w:t>—</w:t>
        </w:r>
      </w:sdtContent>
    </w:sdt>
  </w:p>
  <w:p w14:paraId="60E8E8E7">
    <w:pPr>
      <w:pStyle w:val="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7BA38">
    <w:pPr>
      <w:pStyle w:val="57"/>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-3096260</wp:posOffset>
              </wp:positionV>
              <wp:extent cx="942975" cy="247650"/>
              <wp:effectExtent l="0" t="0" r="28575" b="19050"/>
              <wp:wrapNone/>
              <wp:docPr id="18" name="圆角矩形 18"/>
              <wp:cNvGraphicFramePr/>
              <a:graphic xmlns:a="http://schemas.openxmlformats.org/drawingml/2006/main">
                <a:graphicData uri="http://schemas.microsoft.com/office/word/2010/wordprocessingShape">
                  <wps:wsp>
                    <wps:cNvSpPr/>
                    <wps:spPr>
                      <a:xfrm>
                        <a:off x="0" y="0"/>
                        <a:ext cx="942975" cy="2476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85pt;margin-top:-243.8pt;height:19.5pt;width:74.25pt;z-index:251659264;v-text-anchor:middle;mso-width-relative:page;mso-height-relative:page;" fillcolor="#FFFFFF [3212]" filled="t" stroked="t" coordsize="21600,21600" arcsize="0.166666666666667" o:gfxdata="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g2qd3bAAAACwEAAA8AAAAAAAAAAQAgAAAAIgAAAGRycy9k&#10;b3ducmV2LnhtbFBLAQIUABQAAAAIAIdO4kADq+O7cQIAAOkEAAAOAAAAAAAAAAEAIAAAACoBAABk&#10;cnMvZTJvRG9jLnhtbFBLBQYAAAAABgAGAFkBAAANBgAAAAA=&#10;">
              <v:fill on="t" focussize="0,0"/>
              <v:stroke weight="2pt" color="#FFFFFF [3212]" joinstyle="round"/>
              <v:imagedata o:title=""/>
              <o:lock v:ext="edit" aspectratio="f"/>
            </v:roundrect>
          </w:pict>
        </mc:Fallback>
      </mc:AlternateContent>
    </w:r>
    <w:r>
      <w:rPr>
        <w:rFonts w:hint="eastAsia"/>
        <w:sz w:val="28"/>
        <w:szCs w:val="28"/>
      </w:rPr>
      <w:t>—</w:t>
    </w:r>
    <w:r>
      <w:rPr>
        <w:rFonts w:ascii="Times New Roman" w:hAnsi="Times New Roman" w:cs="Times New Roman"/>
        <w:sz w:val="28"/>
        <w:szCs w:val="28"/>
      </w:rPr>
      <w:t xml:space="preserve"> </w:t>
    </w:r>
    <w:sdt>
      <w:sdtPr>
        <w:rPr>
          <w:rFonts w:ascii="Times New Roman" w:hAnsi="Times New Roman" w:cs="Times New Roman"/>
          <w:sz w:val="28"/>
          <w:szCs w:val="28"/>
        </w:rPr>
        <w:id w:val="-920100124"/>
      </w:sdtPr>
      <w:sdtEndPr>
        <w:rPr>
          <w:rFonts w:asciiTheme="minorHAnsi" w:hAnsiTheme="minorHAnsi" w:cstheme="minorBidi"/>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44</w:t>
        </w:r>
        <w:r>
          <w:rPr>
            <w:rFonts w:ascii="Times New Roman" w:hAnsi="Times New Roman" w:cs="Times New Roman"/>
            <w:sz w:val="28"/>
            <w:szCs w:val="28"/>
          </w:rPr>
          <w:fldChar w:fldCharType="end"/>
        </w:r>
        <w:r>
          <w:rPr>
            <w:sz w:val="28"/>
            <w:szCs w:val="28"/>
          </w:rPr>
          <w:t xml:space="preserve"> </w:t>
        </w:r>
        <w:r>
          <w:rPr>
            <w:rFonts w:hint="eastAsia"/>
            <w:sz w:val="28"/>
            <w:szCs w:val="28"/>
          </w:rPr>
          <w:t>—</w:t>
        </w:r>
      </w:sdtContent>
    </w:sdt>
  </w:p>
  <w:p w14:paraId="028FB344">
    <w:pPr>
      <w:pStyle w:val="5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29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35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28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35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461146B"/>
    <w:multiLevelType w:val="multilevel"/>
    <w:tmpl w:val="1461146B"/>
    <w:lvl w:ilvl="0" w:tentative="0">
      <w:start w:val="1"/>
      <w:numFmt w:val="bullet"/>
      <w:pStyle w:val="237"/>
      <w:lvlText w:val=""/>
      <w:lvlJc w:val="left"/>
      <w:pPr>
        <w:tabs>
          <w:tab w:val="left" w:pos="567"/>
        </w:tabs>
        <w:ind w:left="737" w:hanging="17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17C05160"/>
    <w:multiLevelType w:val="singleLevel"/>
    <w:tmpl w:val="17C05160"/>
    <w:lvl w:ilvl="0" w:tentative="0">
      <w:start w:val="1"/>
      <w:numFmt w:val="bullet"/>
      <w:pStyle w:val="199"/>
      <w:lvlText w:val=""/>
      <w:lvlJc w:val="left"/>
      <w:pPr>
        <w:tabs>
          <w:tab w:val="left" w:pos="360"/>
        </w:tabs>
        <w:ind w:left="360" w:hanging="360"/>
      </w:pPr>
      <w:rPr>
        <w:rFonts w:hint="default" w:ascii="Symbol" w:hAnsi="Symbol"/>
      </w:rPr>
    </w:lvl>
  </w:abstractNum>
  <w:abstractNum w:abstractNumId="6">
    <w:nsid w:val="1DBF583A"/>
    <w:multiLevelType w:val="multilevel"/>
    <w:tmpl w:val="1DBF583A"/>
    <w:lvl w:ilvl="0" w:tentative="0">
      <w:start w:val="1"/>
      <w:numFmt w:val="decimal"/>
      <w:pStyle w:val="300"/>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1"/>
        </w:tabs>
        <w:ind w:left="1174" w:hanging="630"/>
      </w:pPr>
      <w:rPr>
        <w:rFonts w:hint="eastAsia"/>
        <w:vertAlign w:val="baseline"/>
      </w:rPr>
    </w:lvl>
    <w:lvl w:ilvl="2" w:tentative="0">
      <w:start w:val="1"/>
      <w:numFmt w:val="lowerRoman"/>
      <w:lvlText w:val="%3."/>
      <w:lvlJc w:val="right"/>
      <w:pPr>
        <w:tabs>
          <w:tab w:val="left" w:pos="181"/>
        </w:tabs>
        <w:ind w:left="1174" w:hanging="630"/>
      </w:pPr>
      <w:rPr>
        <w:rFonts w:hint="eastAsia"/>
        <w:vertAlign w:val="baseline"/>
      </w:rPr>
    </w:lvl>
    <w:lvl w:ilvl="3" w:tentative="0">
      <w:start w:val="1"/>
      <w:numFmt w:val="decimal"/>
      <w:lvlText w:val="%4."/>
      <w:lvlJc w:val="left"/>
      <w:pPr>
        <w:tabs>
          <w:tab w:val="left" w:pos="181"/>
        </w:tabs>
        <w:ind w:left="1174" w:hanging="630"/>
      </w:pPr>
      <w:rPr>
        <w:rFonts w:hint="eastAsia"/>
        <w:vertAlign w:val="baseline"/>
      </w:rPr>
    </w:lvl>
    <w:lvl w:ilvl="4" w:tentative="0">
      <w:start w:val="1"/>
      <w:numFmt w:val="lowerLetter"/>
      <w:lvlText w:val="%5)"/>
      <w:lvlJc w:val="left"/>
      <w:pPr>
        <w:tabs>
          <w:tab w:val="left" w:pos="181"/>
        </w:tabs>
        <w:ind w:left="1174" w:hanging="630"/>
      </w:pPr>
      <w:rPr>
        <w:rFonts w:hint="eastAsia"/>
        <w:vertAlign w:val="baseline"/>
      </w:rPr>
    </w:lvl>
    <w:lvl w:ilvl="5" w:tentative="0">
      <w:start w:val="1"/>
      <w:numFmt w:val="lowerRoman"/>
      <w:lvlText w:val="%6."/>
      <w:lvlJc w:val="right"/>
      <w:pPr>
        <w:tabs>
          <w:tab w:val="left" w:pos="181"/>
        </w:tabs>
        <w:ind w:left="1174" w:hanging="630"/>
      </w:pPr>
      <w:rPr>
        <w:rFonts w:hint="eastAsia"/>
        <w:vertAlign w:val="baseline"/>
      </w:rPr>
    </w:lvl>
    <w:lvl w:ilvl="6" w:tentative="0">
      <w:start w:val="1"/>
      <w:numFmt w:val="decimal"/>
      <w:lvlText w:val="%7."/>
      <w:lvlJc w:val="left"/>
      <w:pPr>
        <w:tabs>
          <w:tab w:val="left" w:pos="181"/>
        </w:tabs>
        <w:ind w:left="1174" w:hanging="630"/>
      </w:pPr>
      <w:rPr>
        <w:rFonts w:hint="eastAsia"/>
        <w:vertAlign w:val="baseline"/>
      </w:rPr>
    </w:lvl>
    <w:lvl w:ilvl="7" w:tentative="0">
      <w:start w:val="1"/>
      <w:numFmt w:val="lowerLetter"/>
      <w:lvlText w:val="%8)"/>
      <w:lvlJc w:val="left"/>
      <w:pPr>
        <w:tabs>
          <w:tab w:val="left" w:pos="181"/>
        </w:tabs>
        <w:ind w:left="1174" w:hanging="630"/>
      </w:pPr>
      <w:rPr>
        <w:rFonts w:hint="eastAsia"/>
        <w:vertAlign w:val="baseline"/>
      </w:rPr>
    </w:lvl>
    <w:lvl w:ilvl="8" w:tentative="0">
      <w:start w:val="1"/>
      <w:numFmt w:val="lowerRoman"/>
      <w:lvlText w:val="%9."/>
      <w:lvlJc w:val="right"/>
      <w:pPr>
        <w:tabs>
          <w:tab w:val="left" w:pos="181"/>
        </w:tabs>
        <w:ind w:left="1174" w:hanging="630"/>
      </w:pPr>
      <w:rPr>
        <w:rFonts w:hint="eastAsia"/>
        <w:vertAlign w:val="baseline"/>
      </w:rPr>
    </w:lvl>
  </w:abstractNum>
  <w:abstractNum w:abstractNumId="7">
    <w:nsid w:val="1FBA6899"/>
    <w:multiLevelType w:val="singleLevel"/>
    <w:tmpl w:val="1FBA6899"/>
    <w:lvl w:ilvl="0" w:tentative="0">
      <w:start w:val="1"/>
      <w:numFmt w:val="decimal"/>
      <w:pStyle w:val="200"/>
      <w:lvlText w:val="[%1]"/>
      <w:lvlJc w:val="left"/>
      <w:pPr>
        <w:tabs>
          <w:tab w:val="left" w:pos="1008"/>
        </w:tabs>
        <w:ind w:left="1008" w:hanging="1008"/>
      </w:pPr>
      <w:rPr>
        <w:rFonts w:cs="Times New Roman"/>
      </w:rPr>
    </w:lvl>
  </w:abstractNum>
  <w:abstractNum w:abstractNumId="8">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7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81"/>
      <w:suff w:val="nothing"/>
      <w:lvlText w:val="%1.%2.%3　"/>
      <w:lvlJc w:val="left"/>
      <w:pPr>
        <w:ind w:left="0" w:firstLine="0"/>
      </w:pPr>
      <w:rPr>
        <w:rFonts w:hint="eastAsia" w:ascii="黑体" w:hAnsi="Times New Roman" w:eastAsia="黑体"/>
        <w:b w:val="0"/>
        <w:i w:val="0"/>
        <w:sz w:val="21"/>
      </w:rPr>
    </w:lvl>
    <w:lvl w:ilvl="3" w:tentative="0">
      <w:start w:val="1"/>
      <w:numFmt w:val="decimal"/>
      <w:pStyle w:val="28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030139F"/>
    <w:multiLevelType w:val="singleLevel"/>
    <w:tmpl w:val="2030139F"/>
    <w:lvl w:ilvl="0" w:tentative="0">
      <w:start w:val="1"/>
      <w:numFmt w:val="bullet"/>
      <w:pStyle w:val="70"/>
      <w:lvlText w:val=""/>
      <w:lvlJc w:val="left"/>
      <w:pPr>
        <w:tabs>
          <w:tab w:val="left" w:pos="567"/>
        </w:tabs>
        <w:ind w:left="567" w:hanging="567"/>
      </w:pPr>
      <w:rPr>
        <w:rFonts w:hint="default" w:ascii="Wingdings" w:hAnsi="Wingdings"/>
        <w:sz w:val="36"/>
      </w:rPr>
    </w:lvl>
  </w:abstractNum>
  <w:abstractNum w:abstractNumId="10">
    <w:nsid w:val="2A8F7113"/>
    <w:multiLevelType w:val="multilevel"/>
    <w:tmpl w:val="2A8F7113"/>
    <w:lvl w:ilvl="0" w:tentative="0">
      <w:start w:val="1"/>
      <w:numFmt w:val="upperLetter"/>
      <w:pStyle w:val="333"/>
      <w:suff w:val="space"/>
      <w:lvlText w:val="%1"/>
      <w:lvlJc w:val="left"/>
      <w:pPr>
        <w:ind w:left="623" w:hanging="425"/>
      </w:pPr>
      <w:rPr>
        <w:rFonts w:hint="eastAsia"/>
      </w:rPr>
    </w:lvl>
    <w:lvl w:ilvl="1" w:tentative="0">
      <w:start w:val="1"/>
      <w:numFmt w:val="decimal"/>
      <w:pStyle w:val="33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1">
    <w:nsid w:val="2C5917C3"/>
    <w:multiLevelType w:val="multilevel"/>
    <w:tmpl w:val="2C5917C3"/>
    <w:lvl w:ilvl="0" w:tentative="0">
      <w:start w:val="1"/>
      <w:numFmt w:val="none"/>
      <w:pStyle w:val="283"/>
      <w:suff w:val="nothing"/>
      <w:lvlText w:val="%1——"/>
      <w:lvlJc w:val="left"/>
      <w:pPr>
        <w:ind w:left="1826" w:hanging="408"/>
      </w:pPr>
      <w:rPr>
        <w:rFonts w:hint="eastAsia"/>
      </w:rPr>
    </w:lvl>
    <w:lvl w:ilvl="1" w:tentative="0">
      <w:start w:val="1"/>
      <w:numFmt w:val="bullet"/>
      <w:pStyle w:val="284"/>
      <w:lvlText w:val=""/>
      <w:lvlJc w:val="left"/>
      <w:pPr>
        <w:tabs>
          <w:tab w:val="left" w:pos="760"/>
        </w:tabs>
        <w:ind w:left="1264" w:hanging="413"/>
      </w:pPr>
      <w:rPr>
        <w:rFonts w:hint="default" w:ascii="Symbol" w:hAnsi="Symbol"/>
        <w:color w:val="auto"/>
      </w:rPr>
    </w:lvl>
    <w:lvl w:ilvl="2" w:tentative="0">
      <w:start w:val="1"/>
      <w:numFmt w:val="bullet"/>
      <w:pStyle w:val="29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2DCC2E9B"/>
    <w:multiLevelType w:val="multilevel"/>
    <w:tmpl w:val="2DCC2E9B"/>
    <w:lvl w:ilvl="0" w:tentative="0">
      <w:start w:val="1"/>
      <w:numFmt w:val="none"/>
      <w:pStyle w:val="267"/>
      <w:lvlText w:val="Category:"/>
      <w:lvlJc w:val="left"/>
      <w:pPr>
        <w:tabs>
          <w:tab w:val="left" w:pos="1304"/>
        </w:tabs>
        <w:ind w:left="1304" w:hanging="1304"/>
      </w:pPr>
      <w:rPr>
        <w:rFonts w:hint="default" w:ascii="Times New Roman" w:hAnsi="Times New Roman" w:cs="Times New Roman"/>
        <w:b/>
        <w:i w:val="0"/>
        <w:sz w:val="18"/>
        <w:szCs w:val="18"/>
      </w:rPr>
    </w:lvl>
    <w:lvl w:ilvl="1" w:tentative="0">
      <w:start w:val="1"/>
      <w:numFmt w:val="decimal"/>
      <w:suff w:val="space"/>
      <w:lvlText w:val="%1.%2 "/>
      <w:lvlJc w:val="left"/>
      <w:pPr>
        <w:ind w:left="851" w:hanging="851"/>
      </w:pPr>
      <w:rPr>
        <w:rFonts w:hint="default" w:cs="Times New Roman"/>
      </w:rPr>
    </w:lvl>
    <w:lvl w:ilvl="2" w:tentative="0">
      <w:start w:val="1"/>
      <w:numFmt w:val="decimal"/>
      <w:suff w:val="space"/>
      <w:lvlText w:val="%1.%2.%3 "/>
      <w:lvlJc w:val="left"/>
      <w:pPr>
        <w:ind w:left="1021" w:hanging="1021"/>
      </w:pPr>
      <w:rPr>
        <w:rFonts w:hint="default" w:cs="Times New Roman"/>
      </w:rPr>
    </w:lvl>
    <w:lvl w:ilvl="3" w:tentative="0">
      <w:start w:val="1"/>
      <w:numFmt w:val="decimal"/>
      <w:suff w:val="space"/>
      <w:lvlText w:val="%1.%2.%3.%4 "/>
      <w:lvlJc w:val="left"/>
      <w:pPr>
        <w:ind w:left="1134" w:hanging="1134"/>
      </w:pPr>
      <w:rPr>
        <w:rFonts w:hint="default" w:cs="Times New Roman"/>
      </w:rPr>
    </w:lvl>
    <w:lvl w:ilvl="4" w:tentative="0">
      <w:start w:val="1"/>
      <w:numFmt w:val="decimal"/>
      <w:suff w:val="space"/>
      <w:lvlText w:val="%1.%2.%3.%4.%5 "/>
      <w:lvlJc w:val="left"/>
      <w:pPr>
        <w:ind w:left="1247" w:hanging="1247"/>
      </w:pPr>
      <w:rPr>
        <w:rFonts w:hint="default" w:cs="Times New Roman"/>
      </w:rPr>
    </w:lvl>
    <w:lvl w:ilvl="5" w:tentative="0">
      <w:start w:val="1"/>
      <w:numFmt w:val="decimal"/>
      <w:suff w:val="space"/>
      <w:lvlText w:val="%1.%2.%3.%4.%5.%6 "/>
      <w:lvlJc w:val="left"/>
      <w:rPr>
        <w:rFonts w:hint="default" w:cs="Times New Roman"/>
      </w:rPr>
    </w:lvl>
    <w:lvl w:ilvl="6" w:tentative="0">
      <w:start w:val="20"/>
      <w:numFmt w:val="upperLetter"/>
      <w:suff w:val="nothing"/>
      <w:lvlText w:val="%7"/>
      <w:lvlJc w:val="left"/>
      <w:rPr>
        <w:rFonts w:hint="default" w:cs="Times New Roman"/>
      </w:rPr>
    </w:lvl>
    <w:lvl w:ilvl="7" w:tentative="0">
      <w:start w:val="1"/>
      <w:numFmt w:val="none"/>
      <w:suff w:val="nothing"/>
      <w:lvlText w:val=""/>
      <w:lvlJc w:val="left"/>
      <w:rPr>
        <w:rFonts w:hint="default" w:cs="Times New Roman"/>
      </w:rPr>
    </w:lvl>
    <w:lvl w:ilvl="8" w:tentative="0">
      <w:start w:val="1"/>
      <w:numFmt w:val="none"/>
      <w:suff w:val="nothing"/>
      <w:lvlText w:val=""/>
      <w:lvlJc w:val="left"/>
      <w:rPr>
        <w:rFonts w:hint="default" w:cs="Times New Roman"/>
      </w:rPr>
    </w:lvl>
  </w:abstractNum>
  <w:abstractNum w:abstractNumId="13">
    <w:nsid w:val="30670FDC"/>
    <w:multiLevelType w:val="multilevel"/>
    <w:tmpl w:val="30670FDC"/>
    <w:lvl w:ilvl="0" w:tentative="0">
      <w:start w:val="1"/>
      <w:numFmt w:val="decimal"/>
      <w:pStyle w:val="260"/>
      <w:suff w:val="space"/>
      <w:lvlText w:val="Test case %1:"/>
      <w:lvlJc w:val="left"/>
      <w:pPr>
        <w:ind w:left="431" w:hanging="431"/>
      </w:pPr>
      <w:rPr>
        <w:rFonts w:hint="default" w:cs="Times New Roman"/>
      </w:rPr>
    </w:lvl>
    <w:lvl w:ilvl="1" w:tentative="0">
      <w:start w:val="1"/>
      <w:numFmt w:val="decimal"/>
      <w:pStyle w:val="251"/>
      <w:suff w:val="space"/>
      <w:lvlText w:val="Test case %1.%2:"/>
      <w:lvlJc w:val="left"/>
      <w:pPr>
        <w:ind w:left="578" w:hanging="578"/>
      </w:pPr>
      <w:rPr>
        <w:rFonts w:hint="default" w:cs="Times New Roman"/>
      </w:rPr>
    </w:lvl>
    <w:lvl w:ilvl="2" w:tentative="0">
      <w:start w:val="1"/>
      <w:numFmt w:val="decimal"/>
      <w:pStyle w:val="274"/>
      <w:suff w:val="space"/>
      <w:lvlText w:val="Test case %1.%2.%3:"/>
      <w:lvlJc w:val="left"/>
      <w:pPr>
        <w:ind w:left="720" w:hanging="720"/>
      </w:pPr>
      <w:rPr>
        <w:rFonts w:hint="default" w:cs="Times New Roman"/>
      </w:rPr>
    </w:lvl>
    <w:lvl w:ilvl="3" w:tentative="0">
      <w:start w:val="1"/>
      <w:numFmt w:val="decimal"/>
      <w:pStyle w:val="241"/>
      <w:suff w:val="space"/>
      <w:lvlText w:val="Test case %1.%2.%3.%4:"/>
      <w:lvlJc w:val="left"/>
      <w:pPr>
        <w:ind w:left="862" w:hanging="862"/>
      </w:pPr>
      <w:rPr>
        <w:rFonts w:hint="default" w:cs="Times New Roman"/>
      </w:rPr>
    </w:lvl>
    <w:lvl w:ilvl="4" w:tentative="0">
      <w:start w:val="1"/>
      <w:numFmt w:val="none"/>
      <w:suff w:val="nothing"/>
      <w:lvlText w:val=""/>
      <w:lvlJc w:val="left"/>
      <w:rPr>
        <w:rFonts w:hint="default" w:cs="Times New Roman"/>
      </w:rPr>
    </w:lvl>
    <w:lvl w:ilvl="5" w:tentative="0">
      <w:start w:val="1"/>
      <w:numFmt w:val="none"/>
      <w:suff w:val="nothing"/>
      <w:lvlText w:val=""/>
      <w:lvlJc w:val="left"/>
      <w:rPr>
        <w:rFonts w:hint="default" w:cs="Times New Roman"/>
      </w:rPr>
    </w:lvl>
    <w:lvl w:ilvl="6" w:tentative="0">
      <w:start w:val="1"/>
      <w:numFmt w:val="none"/>
      <w:suff w:val="nothing"/>
      <w:lvlText w:val=""/>
      <w:lvlJc w:val="left"/>
      <w:rPr>
        <w:rFonts w:hint="default" w:cs="Times New Roman"/>
      </w:rPr>
    </w:lvl>
    <w:lvl w:ilvl="7" w:tentative="0">
      <w:start w:val="1"/>
      <w:numFmt w:val="none"/>
      <w:suff w:val="nothing"/>
      <w:lvlText w:val=""/>
      <w:lvlJc w:val="left"/>
      <w:rPr>
        <w:rFonts w:hint="default" w:cs="Times New Roman"/>
      </w:rPr>
    </w:lvl>
    <w:lvl w:ilvl="8" w:tentative="0">
      <w:start w:val="1"/>
      <w:numFmt w:val="none"/>
      <w:suff w:val="nothing"/>
      <w:lvlText w:val=""/>
      <w:lvlJc w:val="left"/>
      <w:rPr>
        <w:rFonts w:hint="default" w:cs="Times New Roman"/>
      </w:rPr>
    </w:lvl>
  </w:abstractNum>
  <w:abstractNum w:abstractNumId="14">
    <w:nsid w:val="44C50F90"/>
    <w:multiLevelType w:val="multilevel"/>
    <w:tmpl w:val="44C50F90"/>
    <w:lvl w:ilvl="0" w:tentative="0">
      <w:start w:val="1"/>
      <w:numFmt w:val="lowerLetter"/>
      <w:pStyle w:val="294"/>
      <w:lvlText w:val="%1）"/>
      <w:lvlJc w:val="left"/>
      <w:pPr>
        <w:tabs>
          <w:tab w:val="left" w:pos="845"/>
        </w:tabs>
        <w:ind w:left="845" w:hanging="419"/>
      </w:pPr>
      <w:rPr>
        <w:rFonts w:hint="eastAsia" w:ascii="仿宋_GB2312" w:hAnsi="Times New Roman" w:eastAsia="仿宋_GB2312" w:cs="Times New Roman"/>
        <w:b w:val="0"/>
        <w:i w:val="0"/>
        <w:sz w:val="32"/>
        <w:szCs w:val="32"/>
      </w:rPr>
    </w:lvl>
    <w:lvl w:ilvl="1" w:tentative="0">
      <w:start w:val="1"/>
      <w:numFmt w:val="decimal"/>
      <w:pStyle w:val="289"/>
      <w:lvlText w:val="%2)"/>
      <w:lvlJc w:val="left"/>
      <w:pPr>
        <w:tabs>
          <w:tab w:val="left" w:pos="1265"/>
        </w:tabs>
        <w:ind w:left="1265" w:hanging="420"/>
      </w:pPr>
      <w:rPr>
        <w:rFonts w:hint="eastAsia" w:ascii="宋体" w:hAnsi="宋体" w:eastAsia="宋体"/>
        <w:b w:val="0"/>
        <w:i w:val="0"/>
        <w:sz w:val="20"/>
      </w:rPr>
    </w:lvl>
    <w:lvl w:ilvl="2" w:tentative="0">
      <w:start w:val="1"/>
      <w:numFmt w:val="decimal"/>
      <w:pStyle w:val="296"/>
      <w:lvlText w:val="(%3)"/>
      <w:lvlJc w:val="left"/>
      <w:pPr>
        <w:tabs>
          <w:tab w:val="left" w:pos="6"/>
        </w:tabs>
        <w:ind w:left="1684" w:hanging="419"/>
      </w:pPr>
      <w:rPr>
        <w:rFonts w:hint="eastAsia" w:ascii="宋体" w:hAnsi="宋体" w:eastAsia="宋体"/>
        <w:b w:val="0"/>
        <w:i w:val="0"/>
        <w:sz w:val="20"/>
        <w:szCs w:val="21"/>
      </w:rPr>
    </w:lvl>
    <w:lvl w:ilvl="3" w:tentative="0">
      <w:start w:val="1"/>
      <w:numFmt w:val="decimal"/>
      <w:lvlText w:val="%4."/>
      <w:lvlJc w:val="left"/>
      <w:pPr>
        <w:tabs>
          <w:tab w:val="left" w:pos="2104"/>
        </w:tabs>
        <w:ind w:left="2104" w:hanging="420"/>
      </w:pPr>
      <w:rPr>
        <w:rFonts w:hint="eastAsia"/>
      </w:rPr>
    </w:lvl>
    <w:lvl w:ilvl="4" w:tentative="0">
      <w:start w:val="1"/>
      <w:numFmt w:val="lowerLetter"/>
      <w:lvlText w:val="%5)"/>
      <w:lvlJc w:val="left"/>
      <w:pPr>
        <w:tabs>
          <w:tab w:val="left" w:pos="2523"/>
        </w:tabs>
        <w:ind w:left="2523" w:hanging="419"/>
      </w:pPr>
      <w:rPr>
        <w:rFonts w:hint="eastAsia"/>
      </w:rPr>
    </w:lvl>
    <w:lvl w:ilvl="5" w:tentative="0">
      <w:start w:val="1"/>
      <w:numFmt w:val="lowerRoman"/>
      <w:lvlText w:val="%6."/>
      <w:lvlJc w:val="right"/>
      <w:pPr>
        <w:tabs>
          <w:tab w:val="left" w:pos="2948"/>
        </w:tabs>
        <w:ind w:left="2943" w:hanging="420"/>
      </w:pPr>
      <w:rPr>
        <w:rFonts w:hint="eastAsia"/>
      </w:rPr>
    </w:lvl>
    <w:lvl w:ilvl="6" w:tentative="0">
      <w:start w:val="1"/>
      <w:numFmt w:val="decimal"/>
      <w:lvlText w:val="%7."/>
      <w:lvlJc w:val="left"/>
      <w:pPr>
        <w:tabs>
          <w:tab w:val="left" w:pos="3368"/>
        </w:tabs>
        <w:ind w:left="3362" w:hanging="414"/>
      </w:pPr>
      <w:rPr>
        <w:rFonts w:hint="eastAsia"/>
      </w:rPr>
    </w:lvl>
    <w:lvl w:ilvl="7" w:tentative="0">
      <w:start w:val="1"/>
      <w:numFmt w:val="lowerLetter"/>
      <w:lvlText w:val="%8)"/>
      <w:lvlJc w:val="left"/>
      <w:pPr>
        <w:tabs>
          <w:tab w:val="left" w:pos="3787"/>
        </w:tabs>
        <w:ind w:left="3782" w:hanging="414"/>
      </w:pPr>
      <w:rPr>
        <w:rFonts w:hint="eastAsia"/>
      </w:rPr>
    </w:lvl>
    <w:lvl w:ilvl="8" w:tentative="0">
      <w:start w:val="1"/>
      <w:numFmt w:val="lowerRoman"/>
      <w:lvlText w:val="%9."/>
      <w:lvlJc w:val="right"/>
      <w:pPr>
        <w:tabs>
          <w:tab w:val="left" w:pos="4207"/>
        </w:tabs>
        <w:ind w:left="4207" w:hanging="420"/>
      </w:pPr>
      <w:rPr>
        <w:rFonts w:hint="eastAsia"/>
      </w:rPr>
    </w:lvl>
  </w:abstractNum>
  <w:abstractNum w:abstractNumId="15">
    <w:nsid w:val="47A66F6F"/>
    <w:multiLevelType w:val="singleLevel"/>
    <w:tmpl w:val="47A66F6F"/>
    <w:lvl w:ilvl="0" w:tentative="0">
      <w:start w:val="1"/>
      <w:numFmt w:val="bullet"/>
      <w:pStyle w:val="14"/>
      <w:lvlText w:val=""/>
      <w:lvlJc w:val="left"/>
      <w:pPr>
        <w:tabs>
          <w:tab w:val="left" w:pos="851"/>
        </w:tabs>
        <w:ind w:left="851" w:hanging="567"/>
      </w:pPr>
      <w:rPr>
        <w:rFonts w:hint="default" w:ascii="Wingdings" w:hAnsi="Wingdings"/>
        <w:sz w:val="36"/>
      </w:rPr>
    </w:lvl>
  </w:abstractNum>
  <w:abstractNum w:abstractNumId="16">
    <w:nsid w:val="4A8464C4"/>
    <w:multiLevelType w:val="multilevel"/>
    <w:tmpl w:val="4A8464C4"/>
    <w:lvl w:ilvl="0" w:tentative="0">
      <w:start w:val="1"/>
      <w:numFmt w:val="upperLetter"/>
      <w:pStyle w:val="229"/>
      <w:suff w:val="space"/>
      <w:lvlText w:val="%1"/>
      <w:lvlJc w:val="left"/>
      <w:pPr>
        <w:ind w:left="576" w:hanging="576"/>
      </w:pPr>
      <w:rPr>
        <w:rFonts w:cs="Times New Roman"/>
      </w:rPr>
    </w:lvl>
    <w:lvl w:ilvl="1" w:tentative="0">
      <w:start w:val="1"/>
      <w:numFmt w:val="decimal"/>
      <w:pStyle w:val="232"/>
      <w:suff w:val="space"/>
      <w:lvlText w:val="%1.%2"/>
      <w:lvlJc w:val="left"/>
      <w:pPr>
        <w:ind w:left="1008" w:hanging="648"/>
      </w:pPr>
      <w:rPr>
        <w:rFonts w:cs="Times New Roman"/>
      </w:rPr>
    </w:lvl>
    <w:lvl w:ilvl="2" w:tentative="0">
      <w:start w:val="1"/>
      <w:numFmt w:val="lowerRoman"/>
      <w:lvlText w:val="%3)"/>
      <w:lvlJc w:val="left"/>
      <w:pPr>
        <w:tabs>
          <w:tab w:val="left" w:pos="1080"/>
        </w:tabs>
        <w:ind w:left="1080" w:hanging="360"/>
      </w:pPr>
      <w:rPr>
        <w:rFonts w:cs="Times New Roman"/>
      </w:rPr>
    </w:lvl>
    <w:lvl w:ilvl="3" w:tentative="0">
      <w:start w:val="1"/>
      <w:numFmt w:val="decimal"/>
      <w:lvlText w:val="(%4)"/>
      <w:lvlJc w:val="left"/>
      <w:pPr>
        <w:tabs>
          <w:tab w:val="left" w:pos="1440"/>
        </w:tabs>
        <w:ind w:left="1440" w:hanging="360"/>
      </w:pPr>
      <w:rPr>
        <w:rFonts w:cs="Times New Roman"/>
      </w:rPr>
    </w:lvl>
    <w:lvl w:ilvl="4" w:tentative="0">
      <w:start w:val="1"/>
      <w:numFmt w:val="lowerLetter"/>
      <w:lvlText w:val="(%5)"/>
      <w:lvlJc w:val="left"/>
      <w:pPr>
        <w:tabs>
          <w:tab w:val="left" w:pos="1800"/>
        </w:tabs>
        <w:ind w:left="1800" w:hanging="360"/>
      </w:pPr>
      <w:rPr>
        <w:rFonts w:cs="Times New Roman"/>
      </w:rPr>
    </w:lvl>
    <w:lvl w:ilvl="5" w:tentative="0">
      <w:start w:val="1"/>
      <w:numFmt w:val="lowerRoman"/>
      <w:lvlText w:val="(%6)"/>
      <w:lvlJc w:val="left"/>
      <w:pPr>
        <w:tabs>
          <w:tab w:val="left" w:pos="2160"/>
        </w:tabs>
        <w:ind w:left="2160" w:hanging="360"/>
      </w:pPr>
      <w:rPr>
        <w:rFonts w:cs="Times New Roman"/>
      </w:rPr>
    </w:lvl>
    <w:lvl w:ilvl="6" w:tentative="0">
      <w:start w:val="1"/>
      <w:numFmt w:val="decimal"/>
      <w:lvlText w:val="%7."/>
      <w:lvlJc w:val="left"/>
      <w:pPr>
        <w:tabs>
          <w:tab w:val="left" w:pos="2520"/>
        </w:tabs>
        <w:ind w:left="2520" w:hanging="360"/>
      </w:pPr>
      <w:rPr>
        <w:rFonts w:cs="Times New Roman"/>
      </w:rPr>
    </w:lvl>
    <w:lvl w:ilvl="7" w:tentative="0">
      <w:start w:val="1"/>
      <w:numFmt w:val="lowerLetter"/>
      <w:lvlText w:val="%8."/>
      <w:lvlJc w:val="left"/>
      <w:pPr>
        <w:tabs>
          <w:tab w:val="left" w:pos="2880"/>
        </w:tabs>
        <w:ind w:left="2880" w:hanging="360"/>
      </w:pPr>
      <w:rPr>
        <w:rFonts w:cs="Times New Roman"/>
      </w:rPr>
    </w:lvl>
    <w:lvl w:ilvl="8" w:tentative="0">
      <w:start w:val="1"/>
      <w:numFmt w:val="lowerRoman"/>
      <w:lvlText w:val="%9."/>
      <w:lvlJc w:val="left"/>
      <w:pPr>
        <w:tabs>
          <w:tab w:val="left" w:pos="3240"/>
        </w:tabs>
        <w:ind w:left="3240" w:hanging="360"/>
      </w:pPr>
      <w:rPr>
        <w:rFonts w:cs="Times New Roman"/>
      </w:rPr>
    </w:lvl>
  </w:abstractNum>
  <w:abstractNum w:abstractNumId="17">
    <w:nsid w:val="4B733A5F"/>
    <w:multiLevelType w:val="multilevel"/>
    <w:tmpl w:val="4B733A5F"/>
    <w:lvl w:ilvl="0" w:tentative="0">
      <w:start w:val="1"/>
      <w:numFmt w:val="decimal"/>
      <w:pStyle w:val="297"/>
      <w:suff w:val="nothing"/>
      <w:lvlText w:val="示例%1："/>
      <w:lvlJc w:val="left"/>
      <w:pPr>
        <w:ind w:left="0" w:firstLine="363"/>
      </w:pPr>
      <w:rPr>
        <w:rFonts w:hint="eastAsia" w:ascii="黑体" w:eastAsia="黑体"/>
        <w:b w:val="0"/>
        <w:i w:val="0"/>
        <w:sz w:val="18"/>
        <w:szCs w:val="18"/>
        <w:vertAlign w:val="baseline"/>
      </w:rPr>
    </w:lvl>
    <w:lvl w:ilvl="1" w:tentative="0">
      <w:start w:val="1"/>
      <w:numFmt w:val="lowerLetter"/>
      <w:lvlText w:val="%2)"/>
      <w:lvlJc w:val="left"/>
      <w:pPr>
        <w:ind w:left="0" w:firstLine="0"/>
      </w:pPr>
      <w:rPr>
        <w:rFonts w:hint="eastAsia"/>
        <w:vertAlign w:val="baseline"/>
      </w:rPr>
    </w:lvl>
    <w:lvl w:ilvl="2" w:tentative="0">
      <w:start w:val="1"/>
      <w:numFmt w:val="lowerRoman"/>
      <w:lvlText w:val="%3."/>
      <w:lvlJc w:val="right"/>
      <w:pPr>
        <w:ind w:left="839" w:hanging="442"/>
      </w:pPr>
      <w:rPr>
        <w:rFonts w:hint="eastAsia"/>
        <w:vertAlign w:val="baseline"/>
      </w:rPr>
    </w:lvl>
    <w:lvl w:ilvl="3" w:tentative="0">
      <w:start w:val="1"/>
      <w:numFmt w:val="decimal"/>
      <w:lvlText w:val="%4."/>
      <w:lvlJc w:val="left"/>
      <w:pPr>
        <w:ind w:left="839" w:hanging="442"/>
      </w:pPr>
      <w:rPr>
        <w:rFonts w:hint="eastAsia"/>
        <w:vertAlign w:val="baseline"/>
      </w:rPr>
    </w:lvl>
    <w:lvl w:ilvl="4" w:tentative="0">
      <w:start w:val="1"/>
      <w:numFmt w:val="lowerLetter"/>
      <w:lvlText w:val="%5)"/>
      <w:lvlJc w:val="left"/>
      <w:pPr>
        <w:ind w:left="839" w:hanging="442"/>
      </w:pPr>
      <w:rPr>
        <w:rFonts w:hint="eastAsia"/>
        <w:vertAlign w:val="baseline"/>
      </w:rPr>
    </w:lvl>
    <w:lvl w:ilvl="5" w:tentative="0">
      <w:start w:val="1"/>
      <w:numFmt w:val="lowerRoman"/>
      <w:lvlText w:val="%6."/>
      <w:lvlJc w:val="right"/>
      <w:pPr>
        <w:ind w:left="839" w:hanging="442"/>
      </w:pPr>
      <w:rPr>
        <w:rFonts w:hint="eastAsia"/>
        <w:vertAlign w:val="baseline"/>
      </w:rPr>
    </w:lvl>
    <w:lvl w:ilvl="6" w:tentative="0">
      <w:start w:val="1"/>
      <w:numFmt w:val="decimal"/>
      <w:lvlText w:val="%7."/>
      <w:lvlJc w:val="left"/>
      <w:pPr>
        <w:ind w:left="839" w:hanging="442"/>
      </w:pPr>
      <w:rPr>
        <w:rFonts w:hint="eastAsia"/>
        <w:vertAlign w:val="baseline"/>
      </w:rPr>
    </w:lvl>
    <w:lvl w:ilvl="7" w:tentative="0">
      <w:start w:val="1"/>
      <w:numFmt w:val="lowerLetter"/>
      <w:lvlText w:val="%8)"/>
      <w:lvlJc w:val="left"/>
      <w:pPr>
        <w:ind w:left="839" w:hanging="442"/>
      </w:pPr>
      <w:rPr>
        <w:rFonts w:hint="eastAsia"/>
        <w:vertAlign w:val="baseline"/>
      </w:rPr>
    </w:lvl>
    <w:lvl w:ilvl="8" w:tentative="0">
      <w:start w:val="1"/>
      <w:numFmt w:val="lowerRoman"/>
      <w:lvlText w:val="%9."/>
      <w:lvlJc w:val="right"/>
      <w:pPr>
        <w:ind w:left="839" w:hanging="442"/>
      </w:pPr>
      <w:rPr>
        <w:rFonts w:hint="eastAsia"/>
        <w:vertAlign w:val="baseline"/>
      </w:rPr>
    </w:lvl>
  </w:abstractNum>
  <w:abstractNum w:abstractNumId="18">
    <w:nsid w:val="557C2AF5"/>
    <w:multiLevelType w:val="multilevel"/>
    <w:tmpl w:val="557C2AF5"/>
    <w:lvl w:ilvl="0" w:tentative="0">
      <w:start w:val="1"/>
      <w:numFmt w:val="decimal"/>
      <w:pStyle w:val="36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60B55DC2"/>
    <w:multiLevelType w:val="multilevel"/>
    <w:tmpl w:val="60B55DC2"/>
    <w:lvl w:ilvl="0" w:tentative="0">
      <w:start w:val="1"/>
      <w:numFmt w:val="upperLetter"/>
      <w:pStyle w:val="321"/>
      <w:lvlText w:val="%1"/>
      <w:lvlJc w:val="left"/>
      <w:pPr>
        <w:tabs>
          <w:tab w:val="left" w:pos="0"/>
        </w:tabs>
        <w:ind w:left="0" w:hanging="425"/>
      </w:pPr>
      <w:rPr>
        <w:rFonts w:hint="eastAsia"/>
      </w:rPr>
    </w:lvl>
    <w:lvl w:ilvl="1" w:tentative="0">
      <w:start w:val="1"/>
      <w:numFmt w:val="decimal"/>
      <w:pStyle w:val="32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0">
    <w:nsid w:val="646260FA"/>
    <w:multiLevelType w:val="multilevel"/>
    <w:tmpl w:val="646260FA"/>
    <w:lvl w:ilvl="0" w:tentative="0">
      <w:start w:val="1"/>
      <w:numFmt w:val="decimal"/>
      <w:pStyle w:val="361"/>
      <w:suff w:val="nothing"/>
      <w:lvlText w:val="表%1　"/>
      <w:lvlJc w:val="left"/>
      <w:pPr>
        <w:ind w:left="3402" w:firstLine="0"/>
      </w:pPr>
      <w:rPr>
        <w:rFonts w:hint="eastAsia" w:ascii="黑体" w:hAnsi="Times New Roman" w:eastAsia="黑体"/>
        <w:b w:val="0"/>
        <w:i w:val="0"/>
        <w:sz w:val="21"/>
      </w:rPr>
    </w:lvl>
    <w:lvl w:ilvl="1" w:tentative="0">
      <w:start w:val="1"/>
      <w:numFmt w:val="decimal"/>
      <w:lvlText w:val="%1.%2"/>
      <w:lvlJc w:val="left"/>
      <w:pPr>
        <w:tabs>
          <w:tab w:val="left" w:pos="4394"/>
        </w:tabs>
        <w:ind w:left="4394" w:hanging="567"/>
      </w:pPr>
      <w:rPr>
        <w:rFonts w:hint="eastAsia"/>
      </w:rPr>
    </w:lvl>
    <w:lvl w:ilvl="2" w:tentative="0">
      <w:start w:val="1"/>
      <w:numFmt w:val="decimal"/>
      <w:lvlText w:val="%1.%2.%3"/>
      <w:lvlJc w:val="left"/>
      <w:pPr>
        <w:tabs>
          <w:tab w:val="left" w:pos="4820"/>
        </w:tabs>
        <w:ind w:left="4820" w:hanging="567"/>
      </w:pPr>
      <w:rPr>
        <w:rFonts w:hint="eastAsia"/>
      </w:rPr>
    </w:lvl>
    <w:lvl w:ilvl="3" w:tentative="0">
      <w:start w:val="1"/>
      <w:numFmt w:val="decimal"/>
      <w:lvlText w:val="%1.%2.%3.%4"/>
      <w:lvlJc w:val="left"/>
      <w:pPr>
        <w:tabs>
          <w:tab w:val="left" w:pos="5386"/>
        </w:tabs>
        <w:ind w:left="5386" w:hanging="708"/>
      </w:pPr>
      <w:rPr>
        <w:rFonts w:hint="eastAsia"/>
      </w:rPr>
    </w:lvl>
    <w:lvl w:ilvl="4" w:tentative="0">
      <w:start w:val="1"/>
      <w:numFmt w:val="decimal"/>
      <w:lvlText w:val="%1.%2.%3.%4.%5"/>
      <w:lvlJc w:val="left"/>
      <w:pPr>
        <w:tabs>
          <w:tab w:val="left" w:pos="5953"/>
        </w:tabs>
        <w:ind w:left="5953" w:hanging="850"/>
      </w:pPr>
      <w:rPr>
        <w:rFonts w:hint="eastAsia"/>
      </w:rPr>
    </w:lvl>
    <w:lvl w:ilvl="5" w:tentative="0">
      <w:start w:val="1"/>
      <w:numFmt w:val="decimal"/>
      <w:lvlText w:val="%1.%2.%3.%4.%5.%6"/>
      <w:lvlJc w:val="left"/>
      <w:pPr>
        <w:tabs>
          <w:tab w:val="left" w:pos="6662"/>
        </w:tabs>
        <w:ind w:left="6662" w:hanging="1134"/>
      </w:pPr>
      <w:rPr>
        <w:rFonts w:hint="eastAsia"/>
      </w:rPr>
    </w:lvl>
    <w:lvl w:ilvl="6" w:tentative="0">
      <w:start w:val="1"/>
      <w:numFmt w:val="decimal"/>
      <w:lvlText w:val="%1.%2.%3.%4.%5.%6.%7"/>
      <w:lvlJc w:val="left"/>
      <w:pPr>
        <w:tabs>
          <w:tab w:val="left" w:pos="7229"/>
        </w:tabs>
        <w:ind w:left="7229" w:hanging="1276"/>
      </w:pPr>
      <w:rPr>
        <w:rFonts w:hint="eastAsia"/>
      </w:rPr>
    </w:lvl>
    <w:lvl w:ilvl="7" w:tentative="0">
      <w:start w:val="1"/>
      <w:numFmt w:val="decimal"/>
      <w:lvlText w:val="%1.%2.%3.%4.%5.%6.%7.%8"/>
      <w:lvlJc w:val="left"/>
      <w:pPr>
        <w:tabs>
          <w:tab w:val="left" w:pos="7796"/>
        </w:tabs>
        <w:ind w:left="7796" w:hanging="1418"/>
      </w:pPr>
      <w:rPr>
        <w:rFonts w:hint="eastAsia"/>
      </w:rPr>
    </w:lvl>
    <w:lvl w:ilvl="8" w:tentative="0">
      <w:start w:val="1"/>
      <w:numFmt w:val="decimal"/>
      <w:lvlText w:val="%1.%2.%3.%4.%5.%6.%7.%8.%9"/>
      <w:lvlJc w:val="left"/>
      <w:pPr>
        <w:tabs>
          <w:tab w:val="left" w:pos="8504"/>
        </w:tabs>
        <w:ind w:left="8504" w:hanging="1700"/>
      </w:pPr>
      <w:rPr>
        <w:rFonts w:hint="eastAsia"/>
      </w:rPr>
    </w:lvl>
  </w:abstractNum>
  <w:abstractNum w:abstractNumId="21">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323"/>
      <w:suff w:val="nothing"/>
      <w:lvlText w:val="%1.%2.%3.%4　"/>
      <w:lvlJc w:val="left"/>
      <w:pPr>
        <w:ind w:left="0" w:firstLine="0"/>
      </w:pPr>
      <w:rPr>
        <w:rFonts w:hint="eastAsia" w:ascii="黑体" w:hAnsi="Times New Roman" w:eastAsia="黑体"/>
        <w:b w:val="0"/>
        <w:i w:val="0"/>
        <w:sz w:val="21"/>
      </w:rPr>
    </w:lvl>
    <w:lvl w:ilvl="4" w:tentative="0">
      <w:start w:val="1"/>
      <w:numFmt w:val="decimal"/>
      <w:pStyle w:val="31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2">
    <w:nsid w:val="6D6C07CD"/>
    <w:multiLevelType w:val="multilevel"/>
    <w:tmpl w:val="6D6C07CD"/>
    <w:lvl w:ilvl="0" w:tentative="0">
      <w:start w:val="1"/>
      <w:numFmt w:val="lowerLetter"/>
      <w:pStyle w:val="340"/>
      <w:lvlText w:val="%1)"/>
      <w:lvlJc w:val="left"/>
      <w:pPr>
        <w:tabs>
          <w:tab w:val="left" w:pos="839"/>
        </w:tabs>
        <w:ind w:left="839" w:hanging="419"/>
      </w:pPr>
      <w:rPr>
        <w:rFonts w:hint="eastAsia" w:ascii="宋体" w:eastAsia="宋体"/>
        <w:b w:val="0"/>
        <w:i w:val="0"/>
        <w:sz w:val="21"/>
      </w:rPr>
    </w:lvl>
    <w:lvl w:ilvl="1" w:tentative="0">
      <w:start w:val="1"/>
      <w:numFmt w:val="decimal"/>
      <w:pStyle w:val="33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3">
    <w:nsid w:val="6DBF04F4"/>
    <w:multiLevelType w:val="multilevel"/>
    <w:tmpl w:val="6DBF04F4"/>
    <w:lvl w:ilvl="0" w:tentative="0">
      <w:start w:val="1"/>
      <w:numFmt w:val="none"/>
      <w:pStyle w:val="29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5"/>
  </w:num>
  <w:num w:numId="2">
    <w:abstractNumId w:val="9"/>
  </w:num>
  <w:num w:numId="3">
    <w:abstractNumId w:val="5"/>
  </w:num>
  <w:num w:numId="4">
    <w:abstractNumId w:val="7"/>
  </w:num>
  <w:num w:numId="5">
    <w:abstractNumId w:val="16"/>
  </w:num>
  <w:num w:numId="6">
    <w:abstractNumId w:val="4"/>
  </w:num>
  <w:num w:numId="7">
    <w:abstractNumId w:val="13"/>
  </w:num>
  <w:num w:numId="8">
    <w:abstractNumId w:val="12"/>
  </w:num>
  <w:num w:numId="9">
    <w:abstractNumId w:val="8"/>
  </w:num>
  <w:num w:numId="10">
    <w:abstractNumId w:val="11"/>
  </w:num>
  <w:num w:numId="11">
    <w:abstractNumId w:val="2"/>
  </w:num>
  <w:num w:numId="12">
    <w:abstractNumId w:val="14"/>
  </w:num>
  <w:num w:numId="13">
    <w:abstractNumId w:val="23"/>
  </w:num>
  <w:num w:numId="14">
    <w:abstractNumId w:val="0"/>
  </w:num>
  <w:num w:numId="15">
    <w:abstractNumId w:val="17"/>
  </w:num>
  <w:num w:numId="16">
    <w:abstractNumId w:val="6"/>
  </w:num>
  <w:num w:numId="17">
    <w:abstractNumId w:val="21"/>
  </w:num>
  <w:num w:numId="18">
    <w:abstractNumId w:val="19"/>
  </w:num>
  <w:num w:numId="19">
    <w:abstractNumId w:val="22"/>
  </w:num>
  <w:num w:numId="20">
    <w:abstractNumId w:val="10"/>
  </w:num>
  <w:num w:numId="21">
    <w:abstractNumId w:val="1"/>
  </w:num>
  <w:num w:numId="22">
    <w:abstractNumId w:val="3"/>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54"/>
    <w:rsid w:val="00000081"/>
    <w:rsid w:val="00001EBA"/>
    <w:rsid w:val="00005A53"/>
    <w:rsid w:val="00006819"/>
    <w:rsid w:val="000153D1"/>
    <w:rsid w:val="00020284"/>
    <w:rsid w:val="00020ED4"/>
    <w:rsid w:val="000218EF"/>
    <w:rsid w:val="00023487"/>
    <w:rsid w:val="00023B69"/>
    <w:rsid w:val="00024277"/>
    <w:rsid w:val="0002500F"/>
    <w:rsid w:val="0002622E"/>
    <w:rsid w:val="00027B31"/>
    <w:rsid w:val="000303DB"/>
    <w:rsid w:val="0003054E"/>
    <w:rsid w:val="00031614"/>
    <w:rsid w:val="00031645"/>
    <w:rsid w:val="000323B7"/>
    <w:rsid w:val="000346CC"/>
    <w:rsid w:val="0003568D"/>
    <w:rsid w:val="000363EF"/>
    <w:rsid w:val="00041D7A"/>
    <w:rsid w:val="0004330D"/>
    <w:rsid w:val="00043335"/>
    <w:rsid w:val="0004376F"/>
    <w:rsid w:val="00046050"/>
    <w:rsid w:val="00046462"/>
    <w:rsid w:val="0004783E"/>
    <w:rsid w:val="00050880"/>
    <w:rsid w:val="000511A0"/>
    <w:rsid w:val="00051553"/>
    <w:rsid w:val="00051F64"/>
    <w:rsid w:val="00053547"/>
    <w:rsid w:val="00054482"/>
    <w:rsid w:val="000547DE"/>
    <w:rsid w:val="00064D21"/>
    <w:rsid w:val="000711FD"/>
    <w:rsid w:val="000726A6"/>
    <w:rsid w:val="0007625C"/>
    <w:rsid w:val="0008048D"/>
    <w:rsid w:val="000808C3"/>
    <w:rsid w:val="0008099E"/>
    <w:rsid w:val="00082636"/>
    <w:rsid w:val="000901F8"/>
    <w:rsid w:val="00095CD9"/>
    <w:rsid w:val="00095DA3"/>
    <w:rsid w:val="000973B5"/>
    <w:rsid w:val="000A4B79"/>
    <w:rsid w:val="000A5DF0"/>
    <w:rsid w:val="000A5FF1"/>
    <w:rsid w:val="000B013B"/>
    <w:rsid w:val="000C254B"/>
    <w:rsid w:val="000C28EF"/>
    <w:rsid w:val="000C30BE"/>
    <w:rsid w:val="000C6DAC"/>
    <w:rsid w:val="000C7320"/>
    <w:rsid w:val="000C786F"/>
    <w:rsid w:val="000D034B"/>
    <w:rsid w:val="000D0A31"/>
    <w:rsid w:val="000D47BD"/>
    <w:rsid w:val="000D7A4D"/>
    <w:rsid w:val="000E005F"/>
    <w:rsid w:val="000E0E3C"/>
    <w:rsid w:val="000E1DA4"/>
    <w:rsid w:val="000E443A"/>
    <w:rsid w:val="000E5569"/>
    <w:rsid w:val="000E6093"/>
    <w:rsid w:val="000E613F"/>
    <w:rsid w:val="000E6BAD"/>
    <w:rsid w:val="000F1581"/>
    <w:rsid w:val="000F196D"/>
    <w:rsid w:val="000F1C8B"/>
    <w:rsid w:val="000F2392"/>
    <w:rsid w:val="000F2F99"/>
    <w:rsid w:val="000F3338"/>
    <w:rsid w:val="000F544A"/>
    <w:rsid w:val="000F641A"/>
    <w:rsid w:val="000F6510"/>
    <w:rsid w:val="000F73AE"/>
    <w:rsid w:val="001017D4"/>
    <w:rsid w:val="001023AC"/>
    <w:rsid w:val="001039C1"/>
    <w:rsid w:val="00104131"/>
    <w:rsid w:val="00104919"/>
    <w:rsid w:val="0010503D"/>
    <w:rsid w:val="0011492B"/>
    <w:rsid w:val="0011791A"/>
    <w:rsid w:val="00117EF6"/>
    <w:rsid w:val="00120531"/>
    <w:rsid w:val="001207C5"/>
    <w:rsid w:val="00120CBE"/>
    <w:rsid w:val="001222E3"/>
    <w:rsid w:val="001232A5"/>
    <w:rsid w:val="00126464"/>
    <w:rsid w:val="00126870"/>
    <w:rsid w:val="0012764A"/>
    <w:rsid w:val="00133A4C"/>
    <w:rsid w:val="00133FDF"/>
    <w:rsid w:val="00134D2E"/>
    <w:rsid w:val="00135221"/>
    <w:rsid w:val="0013617D"/>
    <w:rsid w:val="00147B3E"/>
    <w:rsid w:val="00150E5E"/>
    <w:rsid w:val="0015173A"/>
    <w:rsid w:val="00152184"/>
    <w:rsid w:val="00153148"/>
    <w:rsid w:val="001565DD"/>
    <w:rsid w:val="0015731A"/>
    <w:rsid w:val="00160CD3"/>
    <w:rsid w:val="00160E2A"/>
    <w:rsid w:val="00161F17"/>
    <w:rsid w:val="00165101"/>
    <w:rsid w:val="00171129"/>
    <w:rsid w:val="00172A74"/>
    <w:rsid w:val="00172D3E"/>
    <w:rsid w:val="00175D4B"/>
    <w:rsid w:val="00180354"/>
    <w:rsid w:val="00180ADA"/>
    <w:rsid w:val="001812C2"/>
    <w:rsid w:val="001837A4"/>
    <w:rsid w:val="00183EDE"/>
    <w:rsid w:val="00185C60"/>
    <w:rsid w:val="0018614D"/>
    <w:rsid w:val="00186299"/>
    <w:rsid w:val="001877EB"/>
    <w:rsid w:val="00191844"/>
    <w:rsid w:val="00192830"/>
    <w:rsid w:val="00193BDC"/>
    <w:rsid w:val="00194ABF"/>
    <w:rsid w:val="001954EF"/>
    <w:rsid w:val="0019571E"/>
    <w:rsid w:val="001A2280"/>
    <w:rsid w:val="001A254C"/>
    <w:rsid w:val="001A2844"/>
    <w:rsid w:val="001A2F45"/>
    <w:rsid w:val="001A5F82"/>
    <w:rsid w:val="001A7CF8"/>
    <w:rsid w:val="001B5836"/>
    <w:rsid w:val="001B7DDA"/>
    <w:rsid w:val="001C55EF"/>
    <w:rsid w:val="001C6585"/>
    <w:rsid w:val="001D341B"/>
    <w:rsid w:val="001E10B8"/>
    <w:rsid w:val="001E1D30"/>
    <w:rsid w:val="001E4EFC"/>
    <w:rsid w:val="001E561B"/>
    <w:rsid w:val="001F0382"/>
    <w:rsid w:val="001F094B"/>
    <w:rsid w:val="001F2CD1"/>
    <w:rsid w:val="001F35E2"/>
    <w:rsid w:val="00203CEB"/>
    <w:rsid w:val="00204221"/>
    <w:rsid w:val="00205F8E"/>
    <w:rsid w:val="00210193"/>
    <w:rsid w:val="00212ED1"/>
    <w:rsid w:val="00213DBA"/>
    <w:rsid w:val="00215367"/>
    <w:rsid w:val="0021631B"/>
    <w:rsid w:val="0021640D"/>
    <w:rsid w:val="002201E3"/>
    <w:rsid w:val="002209A2"/>
    <w:rsid w:val="00233D02"/>
    <w:rsid w:val="00235E22"/>
    <w:rsid w:val="00236EC1"/>
    <w:rsid w:val="00242C05"/>
    <w:rsid w:val="002433D4"/>
    <w:rsid w:val="00244B69"/>
    <w:rsid w:val="0024533F"/>
    <w:rsid w:val="002460F5"/>
    <w:rsid w:val="00252467"/>
    <w:rsid w:val="0025352E"/>
    <w:rsid w:val="0025638F"/>
    <w:rsid w:val="00257282"/>
    <w:rsid w:val="00260342"/>
    <w:rsid w:val="00260F9D"/>
    <w:rsid w:val="0026146B"/>
    <w:rsid w:val="00271B8F"/>
    <w:rsid w:val="00271EC9"/>
    <w:rsid w:val="00274F48"/>
    <w:rsid w:val="00281D54"/>
    <w:rsid w:val="00282EDE"/>
    <w:rsid w:val="00283EC3"/>
    <w:rsid w:val="002875E5"/>
    <w:rsid w:val="002927A1"/>
    <w:rsid w:val="0029761B"/>
    <w:rsid w:val="002A0BF7"/>
    <w:rsid w:val="002A6AC2"/>
    <w:rsid w:val="002B27B4"/>
    <w:rsid w:val="002B7850"/>
    <w:rsid w:val="002B78DC"/>
    <w:rsid w:val="002B7956"/>
    <w:rsid w:val="002C0CE5"/>
    <w:rsid w:val="002C203E"/>
    <w:rsid w:val="002C2C77"/>
    <w:rsid w:val="002C7075"/>
    <w:rsid w:val="002D07B6"/>
    <w:rsid w:val="002D2458"/>
    <w:rsid w:val="002D29DD"/>
    <w:rsid w:val="002D308C"/>
    <w:rsid w:val="002D355C"/>
    <w:rsid w:val="002D47B9"/>
    <w:rsid w:val="002D618B"/>
    <w:rsid w:val="002E10D7"/>
    <w:rsid w:val="002E3392"/>
    <w:rsid w:val="002E6CCE"/>
    <w:rsid w:val="002F1D7B"/>
    <w:rsid w:val="002F362D"/>
    <w:rsid w:val="002F6572"/>
    <w:rsid w:val="002F7082"/>
    <w:rsid w:val="003022D1"/>
    <w:rsid w:val="003051B3"/>
    <w:rsid w:val="0030625F"/>
    <w:rsid w:val="00311DB5"/>
    <w:rsid w:val="003123CC"/>
    <w:rsid w:val="00321074"/>
    <w:rsid w:val="00327C2E"/>
    <w:rsid w:val="00327F71"/>
    <w:rsid w:val="00331B50"/>
    <w:rsid w:val="00331EE6"/>
    <w:rsid w:val="003322D2"/>
    <w:rsid w:val="00334561"/>
    <w:rsid w:val="00335098"/>
    <w:rsid w:val="00335935"/>
    <w:rsid w:val="00337E1A"/>
    <w:rsid w:val="003400AA"/>
    <w:rsid w:val="0034113E"/>
    <w:rsid w:val="00342025"/>
    <w:rsid w:val="0034558B"/>
    <w:rsid w:val="00345AED"/>
    <w:rsid w:val="003515A6"/>
    <w:rsid w:val="00354274"/>
    <w:rsid w:val="00355587"/>
    <w:rsid w:val="00361130"/>
    <w:rsid w:val="003678F3"/>
    <w:rsid w:val="0037085D"/>
    <w:rsid w:val="0037760D"/>
    <w:rsid w:val="0038042F"/>
    <w:rsid w:val="00381218"/>
    <w:rsid w:val="00383212"/>
    <w:rsid w:val="00384704"/>
    <w:rsid w:val="00387C3F"/>
    <w:rsid w:val="00392435"/>
    <w:rsid w:val="00392839"/>
    <w:rsid w:val="003951B4"/>
    <w:rsid w:val="003A1ED9"/>
    <w:rsid w:val="003A4417"/>
    <w:rsid w:val="003A4469"/>
    <w:rsid w:val="003B043F"/>
    <w:rsid w:val="003B0D51"/>
    <w:rsid w:val="003B1865"/>
    <w:rsid w:val="003B1A3D"/>
    <w:rsid w:val="003B1D15"/>
    <w:rsid w:val="003B25D3"/>
    <w:rsid w:val="003B3F69"/>
    <w:rsid w:val="003B4CB2"/>
    <w:rsid w:val="003B5180"/>
    <w:rsid w:val="003B7207"/>
    <w:rsid w:val="003B7D36"/>
    <w:rsid w:val="003C1FB1"/>
    <w:rsid w:val="003C5073"/>
    <w:rsid w:val="003C598F"/>
    <w:rsid w:val="003C59EC"/>
    <w:rsid w:val="003C661E"/>
    <w:rsid w:val="003D3237"/>
    <w:rsid w:val="003E2146"/>
    <w:rsid w:val="003E4257"/>
    <w:rsid w:val="003E5233"/>
    <w:rsid w:val="003F4A83"/>
    <w:rsid w:val="003F4C61"/>
    <w:rsid w:val="003F60B9"/>
    <w:rsid w:val="003F64A4"/>
    <w:rsid w:val="00400F9D"/>
    <w:rsid w:val="00406197"/>
    <w:rsid w:val="00406444"/>
    <w:rsid w:val="00411B14"/>
    <w:rsid w:val="0041263E"/>
    <w:rsid w:val="00413A89"/>
    <w:rsid w:val="00413D0E"/>
    <w:rsid w:val="00414E83"/>
    <w:rsid w:val="00415508"/>
    <w:rsid w:val="004160FA"/>
    <w:rsid w:val="00416847"/>
    <w:rsid w:val="00425161"/>
    <w:rsid w:val="004256C1"/>
    <w:rsid w:val="00425FFF"/>
    <w:rsid w:val="00426793"/>
    <w:rsid w:val="00433082"/>
    <w:rsid w:val="00434462"/>
    <w:rsid w:val="00435A4E"/>
    <w:rsid w:val="004401FD"/>
    <w:rsid w:val="00442849"/>
    <w:rsid w:val="00447DCB"/>
    <w:rsid w:val="004507E3"/>
    <w:rsid w:val="00450EB7"/>
    <w:rsid w:val="00450F1D"/>
    <w:rsid w:val="00455CCD"/>
    <w:rsid w:val="00455D0C"/>
    <w:rsid w:val="00456145"/>
    <w:rsid w:val="0046156C"/>
    <w:rsid w:val="00461A97"/>
    <w:rsid w:val="00462D93"/>
    <w:rsid w:val="0046558D"/>
    <w:rsid w:val="004713E7"/>
    <w:rsid w:val="00473080"/>
    <w:rsid w:val="004801DE"/>
    <w:rsid w:val="00480601"/>
    <w:rsid w:val="00480EE2"/>
    <w:rsid w:val="004813C7"/>
    <w:rsid w:val="004847B7"/>
    <w:rsid w:val="00487255"/>
    <w:rsid w:val="00490222"/>
    <w:rsid w:val="0049122E"/>
    <w:rsid w:val="00491963"/>
    <w:rsid w:val="00493270"/>
    <w:rsid w:val="004A0B95"/>
    <w:rsid w:val="004A5179"/>
    <w:rsid w:val="004B1A35"/>
    <w:rsid w:val="004B32F7"/>
    <w:rsid w:val="004B3C5B"/>
    <w:rsid w:val="004B6912"/>
    <w:rsid w:val="004C1AF1"/>
    <w:rsid w:val="004C4F81"/>
    <w:rsid w:val="004C5049"/>
    <w:rsid w:val="004C6A1C"/>
    <w:rsid w:val="004C6E94"/>
    <w:rsid w:val="004D299B"/>
    <w:rsid w:val="004D51A5"/>
    <w:rsid w:val="004D54BF"/>
    <w:rsid w:val="004D5C58"/>
    <w:rsid w:val="004D6345"/>
    <w:rsid w:val="004E7077"/>
    <w:rsid w:val="004E75C6"/>
    <w:rsid w:val="004F25D3"/>
    <w:rsid w:val="004F3AC6"/>
    <w:rsid w:val="004F42BB"/>
    <w:rsid w:val="004F4FEF"/>
    <w:rsid w:val="004F587E"/>
    <w:rsid w:val="004F5B8B"/>
    <w:rsid w:val="004F659A"/>
    <w:rsid w:val="00501FE5"/>
    <w:rsid w:val="00506F59"/>
    <w:rsid w:val="00507472"/>
    <w:rsid w:val="00510602"/>
    <w:rsid w:val="00512F8B"/>
    <w:rsid w:val="00514CE5"/>
    <w:rsid w:val="00521835"/>
    <w:rsid w:val="00521FF8"/>
    <w:rsid w:val="005233C5"/>
    <w:rsid w:val="00524B99"/>
    <w:rsid w:val="00525F92"/>
    <w:rsid w:val="00526CF0"/>
    <w:rsid w:val="00527F16"/>
    <w:rsid w:val="005314E1"/>
    <w:rsid w:val="00532A20"/>
    <w:rsid w:val="0053375B"/>
    <w:rsid w:val="00535366"/>
    <w:rsid w:val="00536DE0"/>
    <w:rsid w:val="00537612"/>
    <w:rsid w:val="00540DE9"/>
    <w:rsid w:val="005443A7"/>
    <w:rsid w:val="0054495C"/>
    <w:rsid w:val="00545E0D"/>
    <w:rsid w:val="0055373C"/>
    <w:rsid w:val="00554581"/>
    <w:rsid w:val="00554DE0"/>
    <w:rsid w:val="00556226"/>
    <w:rsid w:val="00561CFB"/>
    <w:rsid w:val="00563FA9"/>
    <w:rsid w:val="005644E4"/>
    <w:rsid w:val="0056514C"/>
    <w:rsid w:val="00565D6F"/>
    <w:rsid w:val="005662AD"/>
    <w:rsid w:val="00567302"/>
    <w:rsid w:val="00570612"/>
    <w:rsid w:val="00572032"/>
    <w:rsid w:val="005731A5"/>
    <w:rsid w:val="00575293"/>
    <w:rsid w:val="00575BD8"/>
    <w:rsid w:val="00580B27"/>
    <w:rsid w:val="00592322"/>
    <w:rsid w:val="00593064"/>
    <w:rsid w:val="00593BFC"/>
    <w:rsid w:val="005969AE"/>
    <w:rsid w:val="005A0BFE"/>
    <w:rsid w:val="005A1929"/>
    <w:rsid w:val="005A19C1"/>
    <w:rsid w:val="005A69DB"/>
    <w:rsid w:val="005A6B72"/>
    <w:rsid w:val="005A7C3E"/>
    <w:rsid w:val="005B1CF4"/>
    <w:rsid w:val="005B3F4E"/>
    <w:rsid w:val="005B7C34"/>
    <w:rsid w:val="005C0BC0"/>
    <w:rsid w:val="005C11C5"/>
    <w:rsid w:val="005C264D"/>
    <w:rsid w:val="005C311A"/>
    <w:rsid w:val="005C3B90"/>
    <w:rsid w:val="005C6ABF"/>
    <w:rsid w:val="005D10F2"/>
    <w:rsid w:val="005D1180"/>
    <w:rsid w:val="005D4A3B"/>
    <w:rsid w:val="005D4C73"/>
    <w:rsid w:val="005D6883"/>
    <w:rsid w:val="005E0602"/>
    <w:rsid w:val="005E28C8"/>
    <w:rsid w:val="005E2F4A"/>
    <w:rsid w:val="005E6CFD"/>
    <w:rsid w:val="005E7D3D"/>
    <w:rsid w:val="005F2B7C"/>
    <w:rsid w:val="005F5CF5"/>
    <w:rsid w:val="005F60A6"/>
    <w:rsid w:val="00600FD6"/>
    <w:rsid w:val="00601514"/>
    <w:rsid w:val="0060281A"/>
    <w:rsid w:val="00603348"/>
    <w:rsid w:val="006050E7"/>
    <w:rsid w:val="00605989"/>
    <w:rsid w:val="00606452"/>
    <w:rsid w:val="00606D7A"/>
    <w:rsid w:val="00606D98"/>
    <w:rsid w:val="006131AA"/>
    <w:rsid w:val="0061463E"/>
    <w:rsid w:val="00615C03"/>
    <w:rsid w:val="006164C4"/>
    <w:rsid w:val="00621279"/>
    <w:rsid w:val="0062215E"/>
    <w:rsid w:val="0062262A"/>
    <w:rsid w:val="00623767"/>
    <w:rsid w:val="00637CBC"/>
    <w:rsid w:val="00640D8C"/>
    <w:rsid w:val="00641375"/>
    <w:rsid w:val="00644186"/>
    <w:rsid w:val="006442B9"/>
    <w:rsid w:val="00650708"/>
    <w:rsid w:val="00650AF0"/>
    <w:rsid w:val="00652760"/>
    <w:rsid w:val="00652EBD"/>
    <w:rsid w:val="006533A0"/>
    <w:rsid w:val="0065588A"/>
    <w:rsid w:val="00656760"/>
    <w:rsid w:val="006614FD"/>
    <w:rsid w:val="00662987"/>
    <w:rsid w:val="00662BD4"/>
    <w:rsid w:val="00663580"/>
    <w:rsid w:val="00664DD3"/>
    <w:rsid w:val="006668DF"/>
    <w:rsid w:val="00667D83"/>
    <w:rsid w:val="00672632"/>
    <w:rsid w:val="00674472"/>
    <w:rsid w:val="006815A2"/>
    <w:rsid w:val="006836CA"/>
    <w:rsid w:val="00685099"/>
    <w:rsid w:val="00687CA5"/>
    <w:rsid w:val="00690AA5"/>
    <w:rsid w:val="006942C0"/>
    <w:rsid w:val="00697760"/>
    <w:rsid w:val="006A41CC"/>
    <w:rsid w:val="006B013F"/>
    <w:rsid w:val="006B173A"/>
    <w:rsid w:val="006B702C"/>
    <w:rsid w:val="006C153C"/>
    <w:rsid w:val="006C5238"/>
    <w:rsid w:val="006C62DE"/>
    <w:rsid w:val="006D0205"/>
    <w:rsid w:val="006D5132"/>
    <w:rsid w:val="006E0D5F"/>
    <w:rsid w:val="006E5C2F"/>
    <w:rsid w:val="006E5D08"/>
    <w:rsid w:val="006E65D0"/>
    <w:rsid w:val="006E6FE1"/>
    <w:rsid w:val="006F231E"/>
    <w:rsid w:val="006F390F"/>
    <w:rsid w:val="006F57DE"/>
    <w:rsid w:val="006F69B0"/>
    <w:rsid w:val="006F7077"/>
    <w:rsid w:val="0070038F"/>
    <w:rsid w:val="007061CD"/>
    <w:rsid w:val="00710A58"/>
    <w:rsid w:val="0071223A"/>
    <w:rsid w:val="00714540"/>
    <w:rsid w:val="00716F53"/>
    <w:rsid w:val="00717D7D"/>
    <w:rsid w:val="00722BA3"/>
    <w:rsid w:val="007236BF"/>
    <w:rsid w:val="00723DE2"/>
    <w:rsid w:val="00725815"/>
    <w:rsid w:val="00725F0A"/>
    <w:rsid w:val="00726967"/>
    <w:rsid w:val="00727A12"/>
    <w:rsid w:val="00732703"/>
    <w:rsid w:val="00732986"/>
    <w:rsid w:val="00732AEB"/>
    <w:rsid w:val="00734AD7"/>
    <w:rsid w:val="00734C7C"/>
    <w:rsid w:val="00737543"/>
    <w:rsid w:val="00737CFB"/>
    <w:rsid w:val="00741605"/>
    <w:rsid w:val="00742DAB"/>
    <w:rsid w:val="0074401C"/>
    <w:rsid w:val="00745341"/>
    <w:rsid w:val="0074721F"/>
    <w:rsid w:val="00752731"/>
    <w:rsid w:val="00752830"/>
    <w:rsid w:val="0075435E"/>
    <w:rsid w:val="00756040"/>
    <w:rsid w:val="00761666"/>
    <w:rsid w:val="00766A02"/>
    <w:rsid w:val="00766CE4"/>
    <w:rsid w:val="00770F1F"/>
    <w:rsid w:val="007724FB"/>
    <w:rsid w:val="00774B8A"/>
    <w:rsid w:val="00776559"/>
    <w:rsid w:val="00780213"/>
    <w:rsid w:val="00782E9B"/>
    <w:rsid w:val="007900ED"/>
    <w:rsid w:val="00792976"/>
    <w:rsid w:val="00794BE6"/>
    <w:rsid w:val="00795615"/>
    <w:rsid w:val="007A425D"/>
    <w:rsid w:val="007A5D61"/>
    <w:rsid w:val="007A6094"/>
    <w:rsid w:val="007A77CC"/>
    <w:rsid w:val="007B45A2"/>
    <w:rsid w:val="007B64E7"/>
    <w:rsid w:val="007B6A6B"/>
    <w:rsid w:val="007B7B04"/>
    <w:rsid w:val="007C18C3"/>
    <w:rsid w:val="007C1DC1"/>
    <w:rsid w:val="007C393F"/>
    <w:rsid w:val="007C4C48"/>
    <w:rsid w:val="007C5B70"/>
    <w:rsid w:val="007C60D9"/>
    <w:rsid w:val="007C6E6C"/>
    <w:rsid w:val="007D0C68"/>
    <w:rsid w:val="007D0E1C"/>
    <w:rsid w:val="007D2C12"/>
    <w:rsid w:val="007D2FBF"/>
    <w:rsid w:val="007D4159"/>
    <w:rsid w:val="007D54BD"/>
    <w:rsid w:val="007D66CD"/>
    <w:rsid w:val="007D7320"/>
    <w:rsid w:val="007D7FE4"/>
    <w:rsid w:val="007E550C"/>
    <w:rsid w:val="007E5BF3"/>
    <w:rsid w:val="007E7477"/>
    <w:rsid w:val="007F075A"/>
    <w:rsid w:val="007F2481"/>
    <w:rsid w:val="007F6B39"/>
    <w:rsid w:val="007F6F91"/>
    <w:rsid w:val="007F77EA"/>
    <w:rsid w:val="00800A2D"/>
    <w:rsid w:val="00802573"/>
    <w:rsid w:val="00802FC1"/>
    <w:rsid w:val="008053E0"/>
    <w:rsid w:val="0080595F"/>
    <w:rsid w:val="00807059"/>
    <w:rsid w:val="00810327"/>
    <w:rsid w:val="008103D7"/>
    <w:rsid w:val="008157E8"/>
    <w:rsid w:val="00820C94"/>
    <w:rsid w:val="00821329"/>
    <w:rsid w:val="00824403"/>
    <w:rsid w:val="00830348"/>
    <w:rsid w:val="00830B07"/>
    <w:rsid w:val="00831319"/>
    <w:rsid w:val="00835A09"/>
    <w:rsid w:val="00835E00"/>
    <w:rsid w:val="008362F7"/>
    <w:rsid w:val="00836673"/>
    <w:rsid w:val="0083680A"/>
    <w:rsid w:val="00840155"/>
    <w:rsid w:val="008429F6"/>
    <w:rsid w:val="0084304D"/>
    <w:rsid w:val="00844D76"/>
    <w:rsid w:val="008451FE"/>
    <w:rsid w:val="00847BD0"/>
    <w:rsid w:val="00854CC7"/>
    <w:rsid w:val="00855470"/>
    <w:rsid w:val="00855534"/>
    <w:rsid w:val="008564B7"/>
    <w:rsid w:val="00861F3A"/>
    <w:rsid w:val="00863135"/>
    <w:rsid w:val="0086448B"/>
    <w:rsid w:val="008651B4"/>
    <w:rsid w:val="00870E6B"/>
    <w:rsid w:val="008712DB"/>
    <w:rsid w:val="00871BBB"/>
    <w:rsid w:val="00872BA8"/>
    <w:rsid w:val="008852D9"/>
    <w:rsid w:val="00887ABC"/>
    <w:rsid w:val="008902C2"/>
    <w:rsid w:val="00891AE1"/>
    <w:rsid w:val="0089227E"/>
    <w:rsid w:val="008939F9"/>
    <w:rsid w:val="0089501B"/>
    <w:rsid w:val="008A04B7"/>
    <w:rsid w:val="008A1217"/>
    <w:rsid w:val="008A23DF"/>
    <w:rsid w:val="008A475B"/>
    <w:rsid w:val="008A5E58"/>
    <w:rsid w:val="008B14A6"/>
    <w:rsid w:val="008B4B2A"/>
    <w:rsid w:val="008B4B86"/>
    <w:rsid w:val="008B4F0F"/>
    <w:rsid w:val="008B57E2"/>
    <w:rsid w:val="008B63CE"/>
    <w:rsid w:val="008C1EF6"/>
    <w:rsid w:val="008C216F"/>
    <w:rsid w:val="008C245F"/>
    <w:rsid w:val="008C548B"/>
    <w:rsid w:val="008C6369"/>
    <w:rsid w:val="008D3064"/>
    <w:rsid w:val="008D390C"/>
    <w:rsid w:val="008D6676"/>
    <w:rsid w:val="008E03A7"/>
    <w:rsid w:val="008E056C"/>
    <w:rsid w:val="008E1EAA"/>
    <w:rsid w:val="008E3092"/>
    <w:rsid w:val="008E4554"/>
    <w:rsid w:val="008E4A70"/>
    <w:rsid w:val="008F22AE"/>
    <w:rsid w:val="008F6E85"/>
    <w:rsid w:val="008F75B9"/>
    <w:rsid w:val="0090394E"/>
    <w:rsid w:val="00905164"/>
    <w:rsid w:val="00905612"/>
    <w:rsid w:val="0091066B"/>
    <w:rsid w:val="009123E8"/>
    <w:rsid w:val="00915F59"/>
    <w:rsid w:val="009172E6"/>
    <w:rsid w:val="00917DD8"/>
    <w:rsid w:val="00921B76"/>
    <w:rsid w:val="009221D3"/>
    <w:rsid w:val="009305C8"/>
    <w:rsid w:val="00930E8C"/>
    <w:rsid w:val="0093170C"/>
    <w:rsid w:val="0093344D"/>
    <w:rsid w:val="00935202"/>
    <w:rsid w:val="00935489"/>
    <w:rsid w:val="00935C37"/>
    <w:rsid w:val="009362C8"/>
    <w:rsid w:val="009441A3"/>
    <w:rsid w:val="00951025"/>
    <w:rsid w:val="009517E6"/>
    <w:rsid w:val="00960501"/>
    <w:rsid w:val="0096093B"/>
    <w:rsid w:val="00961879"/>
    <w:rsid w:val="009620EB"/>
    <w:rsid w:val="00964D40"/>
    <w:rsid w:val="00970589"/>
    <w:rsid w:val="00970A14"/>
    <w:rsid w:val="009718D7"/>
    <w:rsid w:val="00973151"/>
    <w:rsid w:val="00974526"/>
    <w:rsid w:val="00976927"/>
    <w:rsid w:val="00976DB3"/>
    <w:rsid w:val="00977743"/>
    <w:rsid w:val="00980D6B"/>
    <w:rsid w:val="00980DA8"/>
    <w:rsid w:val="00981349"/>
    <w:rsid w:val="0098489E"/>
    <w:rsid w:val="009904D8"/>
    <w:rsid w:val="00990FD4"/>
    <w:rsid w:val="009919C6"/>
    <w:rsid w:val="009929F6"/>
    <w:rsid w:val="009933EE"/>
    <w:rsid w:val="00993711"/>
    <w:rsid w:val="00993D3A"/>
    <w:rsid w:val="00995B39"/>
    <w:rsid w:val="009A2B60"/>
    <w:rsid w:val="009A6479"/>
    <w:rsid w:val="009A739E"/>
    <w:rsid w:val="009B666F"/>
    <w:rsid w:val="009B6B8F"/>
    <w:rsid w:val="009B7060"/>
    <w:rsid w:val="009C0A9C"/>
    <w:rsid w:val="009C3C8F"/>
    <w:rsid w:val="009C598B"/>
    <w:rsid w:val="009C6F98"/>
    <w:rsid w:val="009D3587"/>
    <w:rsid w:val="009D3E33"/>
    <w:rsid w:val="009D4C10"/>
    <w:rsid w:val="009D590D"/>
    <w:rsid w:val="009D6C61"/>
    <w:rsid w:val="009D745A"/>
    <w:rsid w:val="009D7BCD"/>
    <w:rsid w:val="009E4293"/>
    <w:rsid w:val="009E5EDE"/>
    <w:rsid w:val="009E67AF"/>
    <w:rsid w:val="009F4800"/>
    <w:rsid w:val="009F592B"/>
    <w:rsid w:val="00A01644"/>
    <w:rsid w:val="00A0231F"/>
    <w:rsid w:val="00A02465"/>
    <w:rsid w:val="00A104B0"/>
    <w:rsid w:val="00A12839"/>
    <w:rsid w:val="00A1313C"/>
    <w:rsid w:val="00A14F66"/>
    <w:rsid w:val="00A15430"/>
    <w:rsid w:val="00A20E53"/>
    <w:rsid w:val="00A216A9"/>
    <w:rsid w:val="00A228C9"/>
    <w:rsid w:val="00A25FAB"/>
    <w:rsid w:val="00A319D0"/>
    <w:rsid w:val="00A33940"/>
    <w:rsid w:val="00A34AE4"/>
    <w:rsid w:val="00A37296"/>
    <w:rsid w:val="00A377F3"/>
    <w:rsid w:val="00A400B0"/>
    <w:rsid w:val="00A4068D"/>
    <w:rsid w:val="00A4069B"/>
    <w:rsid w:val="00A409D4"/>
    <w:rsid w:val="00A413A0"/>
    <w:rsid w:val="00A4274B"/>
    <w:rsid w:val="00A4399A"/>
    <w:rsid w:val="00A46381"/>
    <w:rsid w:val="00A46B9E"/>
    <w:rsid w:val="00A52CA1"/>
    <w:rsid w:val="00A54428"/>
    <w:rsid w:val="00A55466"/>
    <w:rsid w:val="00A5621E"/>
    <w:rsid w:val="00A60990"/>
    <w:rsid w:val="00A60DEF"/>
    <w:rsid w:val="00A62DB9"/>
    <w:rsid w:val="00A63819"/>
    <w:rsid w:val="00A63A67"/>
    <w:rsid w:val="00A64862"/>
    <w:rsid w:val="00A67BC3"/>
    <w:rsid w:val="00A7062C"/>
    <w:rsid w:val="00A718AF"/>
    <w:rsid w:val="00A75B00"/>
    <w:rsid w:val="00A773E8"/>
    <w:rsid w:val="00A81B3B"/>
    <w:rsid w:val="00A8225A"/>
    <w:rsid w:val="00A83AD8"/>
    <w:rsid w:val="00A83D4C"/>
    <w:rsid w:val="00A84896"/>
    <w:rsid w:val="00A8502C"/>
    <w:rsid w:val="00A918D0"/>
    <w:rsid w:val="00A937EC"/>
    <w:rsid w:val="00A94977"/>
    <w:rsid w:val="00A949DC"/>
    <w:rsid w:val="00A94FF7"/>
    <w:rsid w:val="00AA29C2"/>
    <w:rsid w:val="00AA3A28"/>
    <w:rsid w:val="00AA482A"/>
    <w:rsid w:val="00AA5D22"/>
    <w:rsid w:val="00AA7CB8"/>
    <w:rsid w:val="00AB3A46"/>
    <w:rsid w:val="00AB4FD5"/>
    <w:rsid w:val="00AC1781"/>
    <w:rsid w:val="00AC2051"/>
    <w:rsid w:val="00AC25AD"/>
    <w:rsid w:val="00AC2E56"/>
    <w:rsid w:val="00AC55EE"/>
    <w:rsid w:val="00AD0C29"/>
    <w:rsid w:val="00AD1E63"/>
    <w:rsid w:val="00AD287A"/>
    <w:rsid w:val="00AD3485"/>
    <w:rsid w:val="00AD4356"/>
    <w:rsid w:val="00AD5874"/>
    <w:rsid w:val="00AD6221"/>
    <w:rsid w:val="00AD6FD3"/>
    <w:rsid w:val="00AD7608"/>
    <w:rsid w:val="00AE0E78"/>
    <w:rsid w:val="00AE1D9D"/>
    <w:rsid w:val="00AE2708"/>
    <w:rsid w:val="00AE2FAA"/>
    <w:rsid w:val="00AE485E"/>
    <w:rsid w:val="00AE7455"/>
    <w:rsid w:val="00AF04C5"/>
    <w:rsid w:val="00AF0F52"/>
    <w:rsid w:val="00AF3887"/>
    <w:rsid w:val="00AF5BA6"/>
    <w:rsid w:val="00B01542"/>
    <w:rsid w:val="00B033ED"/>
    <w:rsid w:val="00B06D18"/>
    <w:rsid w:val="00B07321"/>
    <w:rsid w:val="00B10766"/>
    <w:rsid w:val="00B12462"/>
    <w:rsid w:val="00B145A1"/>
    <w:rsid w:val="00B150F3"/>
    <w:rsid w:val="00B153F0"/>
    <w:rsid w:val="00B24F68"/>
    <w:rsid w:val="00B2667D"/>
    <w:rsid w:val="00B32F05"/>
    <w:rsid w:val="00B32F45"/>
    <w:rsid w:val="00B35930"/>
    <w:rsid w:val="00B37EE3"/>
    <w:rsid w:val="00B404B5"/>
    <w:rsid w:val="00B407C7"/>
    <w:rsid w:val="00B40ADD"/>
    <w:rsid w:val="00B45CE0"/>
    <w:rsid w:val="00B4763D"/>
    <w:rsid w:val="00B52518"/>
    <w:rsid w:val="00B5387D"/>
    <w:rsid w:val="00B5704D"/>
    <w:rsid w:val="00B57DD0"/>
    <w:rsid w:val="00B61228"/>
    <w:rsid w:val="00B6253D"/>
    <w:rsid w:val="00B6273A"/>
    <w:rsid w:val="00B62EA9"/>
    <w:rsid w:val="00B64624"/>
    <w:rsid w:val="00B70236"/>
    <w:rsid w:val="00B708A6"/>
    <w:rsid w:val="00B70C37"/>
    <w:rsid w:val="00B71ADB"/>
    <w:rsid w:val="00B747E3"/>
    <w:rsid w:val="00B74B2D"/>
    <w:rsid w:val="00B755DA"/>
    <w:rsid w:val="00B776DA"/>
    <w:rsid w:val="00B817A9"/>
    <w:rsid w:val="00B8399A"/>
    <w:rsid w:val="00B8465D"/>
    <w:rsid w:val="00B8498D"/>
    <w:rsid w:val="00B84C2F"/>
    <w:rsid w:val="00B91B75"/>
    <w:rsid w:val="00B91B85"/>
    <w:rsid w:val="00B91C6E"/>
    <w:rsid w:val="00B93181"/>
    <w:rsid w:val="00B94E81"/>
    <w:rsid w:val="00BA35BE"/>
    <w:rsid w:val="00BA5CCD"/>
    <w:rsid w:val="00BA6AC4"/>
    <w:rsid w:val="00BA73BC"/>
    <w:rsid w:val="00BA7EAC"/>
    <w:rsid w:val="00BB0707"/>
    <w:rsid w:val="00BB2386"/>
    <w:rsid w:val="00BB2B4B"/>
    <w:rsid w:val="00BB3D51"/>
    <w:rsid w:val="00BB4356"/>
    <w:rsid w:val="00BC091E"/>
    <w:rsid w:val="00BC3A57"/>
    <w:rsid w:val="00BC738A"/>
    <w:rsid w:val="00BD0954"/>
    <w:rsid w:val="00BD0A83"/>
    <w:rsid w:val="00BD1CF3"/>
    <w:rsid w:val="00BD1DC5"/>
    <w:rsid w:val="00BD2598"/>
    <w:rsid w:val="00BD5064"/>
    <w:rsid w:val="00BD5AEF"/>
    <w:rsid w:val="00BD6FEE"/>
    <w:rsid w:val="00BE03B5"/>
    <w:rsid w:val="00BE03CF"/>
    <w:rsid w:val="00BE3C0A"/>
    <w:rsid w:val="00BE3E54"/>
    <w:rsid w:val="00BE5F74"/>
    <w:rsid w:val="00BE72E6"/>
    <w:rsid w:val="00BF26AC"/>
    <w:rsid w:val="00BF2BA7"/>
    <w:rsid w:val="00BF2C3A"/>
    <w:rsid w:val="00BF3FBC"/>
    <w:rsid w:val="00BF4043"/>
    <w:rsid w:val="00BF4736"/>
    <w:rsid w:val="00C02104"/>
    <w:rsid w:val="00C021E0"/>
    <w:rsid w:val="00C0374B"/>
    <w:rsid w:val="00C07CE9"/>
    <w:rsid w:val="00C1018A"/>
    <w:rsid w:val="00C11CAF"/>
    <w:rsid w:val="00C14359"/>
    <w:rsid w:val="00C1483E"/>
    <w:rsid w:val="00C15C5B"/>
    <w:rsid w:val="00C172D2"/>
    <w:rsid w:val="00C20898"/>
    <w:rsid w:val="00C20FF0"/>
    <w:rsid w:val="00C227D3"/>
    <w:rsid w:val="00C31326"/>
    <w:rsid w:val="00C3512E"/>
    <w:rsid w:val="00C358DB"/>
    <w:rsid w:val="00C375E9"/>
    <w:rsid w:val="00C40174"/>
    <w:rsid w:val="00C40936"/>
    <w:rsid w:val="00C4748D"/>
    <w:rsid w:val="00C5166B"/>
    <w:rsid w:val="00C517A0"/>
    <w:rsid w:val="00C54B38"/>
    <w:rsid w:val="00C57954"/>
    <w:rsid w:val="00C602B2"/>
    <w:rsid w:val="00C61495"/>
    <w:rsid w:val="00C61A83"/>
    <w:rsid w:val="00C61EAC"/>
    <w:rsid w:val="00C62814"/>
    <w:rsid w:val="00C63C76"/>
    <w:rsid w:val="00C67AFC"/>
    <w:rsid w:val="00C70FCF"/>
    <w:rsid w:val="00C7423D"/>
    <w:rsid w:val="00C75029"/>
    <w:rsid w:val="00C7685A"/>
    <w:rsid w:val="00C81882"/>
    <w:rsid w:val="00C82A01"/>
    <w:rsid w:val="00C832CE"/>
    <w:rsid w:val="00C84650"/>
    <w:rsid w:val="00C87C6F"/>
    <w:rsid w:val="00C90594"/>
    <w:rsid w:val="00C91A2D"/>
    <w:rsid w:val="00C93611"/>
    <w:rsid w:val="00C94E67"/>
    <w:rsid w:val="00C95221"/>
    <w:rsid w:val="00C96F45"/>
    <w:rsid w:val="00CA03CF"/>
    <w:rsid w:val="00CA4BC7"/>
    <w:rsid w:val="00CB00D3"/>
    <w:rsid w:val="00CB62AA"/>
    <w:rsid w:val="00CC2679"/>
    <w:rsid w:val="00CC35A1"/>
    <w:rsid w:val="00CD02E7"/>
    <w:rsid w:val="00CD38D8"/>
    <w:rsid w:val="00CD3912"/>
    <w:rsid w:val="00CD3D0A"/>
    <w:rsid w:val="00CE08B8"/>
    <w:rsid w:val="00CE0F6F"/>
    <w:rsid w:val="00CE1034"/>
    <w:rsid w:val="00CE13C4"/>
    <w:rsid w:val="00CE1551"/>
    <w:rsid w:val="00CE2297"/>
    <w:rsid w:val="00CE29DB"/>
    <w:rsid w:val="00CE4556"/>
    <w:rsid w:val="00CE6129"/>
    <w:rsid w:val="00CE7CAC"/>
    <w:rsid w:val="00CF066C"/>
    <w:rsid w:val="00CF18FF"/>
    <w:rsid w:val="00CF1E37"/>
    <w:rsid w:val="00CF5102"/>
    <w:rsid w:val="00CF65DC"/>
    <w:rsid w:val="00CF6EF3"/>
    <w:rsid w:val="00D00D91"/>
    <w:rsid w:val="00D0150A"/>
    <w:rsid w:val="00D02A9D"/>
    <w:rsid w:val="00D11479"/>
    <w:rsid w:val="00D14A68"/>
    <w:rsid w:val="00D14EAC"/>
    <w:rsid w:val="00D1558B"/>
    <w:rsid w:val="00D1752C"/>
    <w:rsid w:val="00D258E4"/>
    <w:rsid w:val="00D25C4D"/>
    <w:rsid w:val="00D25C61"/>
    <w:rsid w:val="00D27C2F"/>
    <w:rsid w:val="00D3406B"/>
    <w:rsid w:val="00D34AAF"/>
    <w:rsid w:val="00D36A6C"/>
    <w:rsid w:val="00D36C16"/>
    <w:rsid w:val="00D40AAE"/>
    <w:rsid w:val="00D43F20"/>
    <w:rsid w:val="00D45D46"/>
    <w:rsid w:val="00D50993"/>
    <w:rsid w:val="00D50CE4"/>
    <w:rsid w:val="00D50FE7"/>
    <w:rsid w:val="00D52936"/>
    <w:rsid w:val="00D56BCB"/>
    <w:rsid w:val="00D57088"/>
    <w:rsid w:val="00D57DE7"/>
    <w:rsid w:val="00D609FF"/>
    <w:rsid w:val="00D61DC9"/>
    <w:rsid w:val="00D63423"/>
    <w:rsid w:val="00D67770"/>
    <w:rsid w:val="00D7155E"/>
    <w:rsid w:val="00D718F7"/>
    <w:rsid w:val="00D727D2"/>
    <w:rsid w:val="00D72E0C"/>
    <w:rsid w:val="00D76C47"/>
    <w:rsid w:val="00D772F7"/>
    <w:rsid w:val="00D7767E"/>
    <w:rsid w:val="00D80FB0"/>
    <w:rsid w:val="00D8302B"/>
    <w:rsid w:val="00D83104"/>
    <w:rsid w:val="00D83926"/>
    <w:rsid w:val="00D84E24"/>
    <w:rsid w:val="00D93D8E"/>
    <w:rsid w:val="00D97418"/>
    <w:rsid w:val="00DA167B"/>
    <w:rsid w:val="00DA3109"/>
    <w:rsid w:val="00DA5100"/>
    <w:rsid w:val="00DA6FDF"/>
    <w:rsid w:val="00DA70E0"/>
    <w:rsid w:val="00DB0123"/>
    <w:rsid w:val="00DB1239"/>
    <w:rsid w:val="00DB1FB3"/>
    <w:rsid w:val="00DB40FA"/>
    <w:rsid w:val="00DB46EB"/>
    <w:rsid w:val="00DB4D44"/>
    <w:rsid w:val="00DB6423"/>
    <w:rsid w:val="00DC07E0"/>
    <w:rsid w:val="00DC278C"/>
    <w:rsid w:val="00DC3325"/>
    <w:rsid w:val="00DC3E0D"/>
    <w:rsid w:val="00DC4352"/>
    <w:rsid w:val="00DC72DA"/>
    <w:rsid w:val="00DD05D1"/>
    <w:rsid w:val="00DD112D"/>
    <w:rsid w:val="00DD2CB6"/>
    <w:rsid w:val="00DD3E79"/>
    <w:rsid w:val="00DD6DB4"/>
    <w:rsid w:val="00DE2ED6"/>
    <w:rsid w:val="00DE386A"/>
    <w:rsid w:val="00DE4C37"/>
    <w:rsid w:val="00DE585B"/>
    <w:rsid w:val="00DE6551"/>
    <w:rsid w:val="00DF00D9"/>
    <w:rsid w:val="00DF02A8"/>
    <w:rsid w:val="00DF0D11"/>
    <w:rsid w:val="00DF17CF"/>
    <w:rsid w:val="00DF4CE1"/>
    <w:rsid w:val="00DF684B"/>
    <w:rsid w:val="00E00027"/>
    <w:rsid w:val="00E03083"/>
    <w:rsid w:val="00E0511B"/>
    <w:rsid w:val="00E0630D"/>
    <w:rsid w:val="00E0641B"/>
    <w:rsid w:val="00E0765B"/>
    <w:rsid w:val="00E12B1E"/>
    <w:rsid w:val="00E14AB5"/>
    <w:rsid w:val="00E1769B"/>
    <w:rsid w:val="00E26DED"/>
    <w:rsid w:val="00E4022E"/>
    <w:rsid w:val="00E46908"/>
    <w:rsid w:val="00E46FDA"/>
    <w:rsid w:val="00E473E9"/>
    <w:rsid w:val="00E47A6A"/>
    <w:rsid w:val="00E47C6A"/>
    <w:rsid w:val="00E50B30"/>
    <w:rsid w:val="00E52B1D"/>
    <w:rsid w:val="00E53F0B"/>
    <w:rsid w:val="00E54170"/>
    <w:rsid w:val="00E554B2"/>
    <w:rsid w:val="00E5697E"/>
    <w:rsid w:val="00E56E00"/>
    <w:rsid w:val="00E602F5"/>
    <w:rsid w:val="00E60ECC"/>
    <w:rsid w:val="00E61ED6"/>
    <w:rsid w:val="00E63A57"/>
    <w:rsid w:val="00E64939"/>
    <w:rsid w:val="00E67705"/>
    <w:rsid w:val="00E70954"/>
    <w:rsid w:val="00E75ED9"/>
    <w:rsid w:val="00E760E8"/>
    <w:rsid w:val="00E81582"/>
    <w:rsid w:val="00E905E7"/>
    <w:rsid w:val="00E929BD"/>
    <w:rsid w:val="00E94F08"/>
    <w:rsid w:val="00E960EA"/>
    <w:rsid w:val="00E9642B"/>
    <w:rsid w:val="00E968AF"/>
    <w:rsid w:val="00E96BA0"/>
    <w:rsid w:val="00EA1034"/>
    <w:rsid w:val="00EA2D5F"/>
    <w:rsid w:val="00EA2E7B"/>
    <w:rsid w:val="00EA6A20"/>
    <w:rsid w:val="00EB5152"/>
    <w:rsid w:val="00EC0825"/>
    <w:rsid w:val="00EC3009"/>
    <w:rsid w:val="00EC69CB"/>
    <w:rsid w:val="00ED04D1"/>
    <w:rsid w:val="00ED0B2B"/>
    <w:rsid w:val="00ED53BB"/>
    <w:rsid w:val="00EE0FB8"/>
    <w:rsid w:val="00EE16C8"/>
    <w:rsid w:val="00EE2980"/>
    <w:rsid w:val="00EE29DA"/>
    <w:rsid w:val="00EE498B"/>
    <w:rsid w:val="00EF3099"/>
    <w:rsid w:val="00EF48D7"/>
    <w:rsid w:val="00EF7AED"/>
    <w:rsid w:val="00EF7BB9"/>
    <w:rsid w:val="00F01399"/>
    <w:rsid w:val="00F03DBA"/>
    <w:rsid w:val="00F0409C"/>
    <w:rsid w:val="00F11FC4"/>
    <w:rsid w:val="00F13CB2"/>
    <w:rsid w:val="00F177CE"/>
    <w:rsid w:val="00F1787D"/>
    <w:rsid w:val="00F178BC"/>
    <w:rsid w:val="00F2221F"/>
    <w:rsid w:val="00F22A5F"/>
    <w:rsid w:val="00F23765"/>
    <w:rsid w:val="00F250E6"/>
    <w:rsid w:val="00F26971"/>
    <w:rsid w:val="00F3182B"/>
    <w:rsid w:val="00F320E3"/>
    <w:rsid w:val="00F3217A"/>
    <w:rsid w:val="00F356BA"/>
    <w:rsid w:val="00F35904"/>
    <w:rsid w:val="00F371CE"/>
    <w:rsid w:val="00F373E4"/>
    <w:rsid w:val="00F401F9"/>
    <w:rsid w:val="00F41EE0"/>
    <w:rsid w:val="00F41F59"/>
    <w:rsid w:val="00F42E8F"/>
    <w:rsid w:val="00F43C7A"/>
    <w:rsid w:val="00F46FD7"/>
    <w:rsid w:val="00F473F3"/>
    <w:rsid w:val="00F47796"/>
    <w:rsid w:val="00F517A4"/>
    <w:rsid w:val="00F52004"/>
    <w:rsid w:val="00F52B5D"/>
    <w:rsid w:val="00F55DB7"/>
    <w:rsid w:val="00F5763E"/>
    <w:rsid w:val="00F60125"/>
    <w:rsid w:val="00F6015D"/>
    <w:rsid w:val="00F607EA"/>
    <w:rsid w:val="00F638A5"/>
    <w:rsid w:val="00F65201"/>
    <w:rsid w:val="00F70F67"/>
    <w:rsid w:val="00F74CDE"/>
    <w:rsid w:val="00F82CDD"/>
    <w:rsid w:val="00F831A8"/>
    <w:rsid w:val="00F8391F"/>
    <w:rsid w:val="00F859EF"/>
    <w:rsid w:val="00F925C1"/>
    <w:rsid w:val="00F93428"/>
    <w:rsid w:val="00F9599C"/>
    <w:rsid w:val="00F9779B"/>
    <w:rsid w:val="00FA1A7A"/>
    <w:rsid w:val="00FA42EA"/>
    <w:rsid w:val="00FA6213"/>
    <w:rsid w:val="00FA6549"/>
    <w:rsid w:val="00FB2487"/>
    <w:rsid w:val="00FB605E"/>
    <w:rsid w:val="00FC05EF"/>
    <w:rsid w:val="00FC077C"/>
    <w:rsid w:val="00FD2D7A"/>
    <w:rsid w:val="00FD31DF"/>
    <w:rsid w:val="00FD40DD"/>
    <w:rsid w:val="00FD5EBE"/>
    <w:rsid w:val="00FD6CF2"/>
    <w:rsid w:val="00FD7BAB"/>
    <w:rsid w:val="00FE077D"/>
    <w:rsid w:val="00FE178F"/>
    <w:rsid w:val="00FE2AC5"/>
    <w:rsid w:val="00FE3D27"/>
    <w:rsid w:val="00FE4E4A"/>
    <w:rsid w:val="00FF5987"/>
    <w:rsid w:val="08E73603"/>
    <w:rsid w:val="0EC17341"/>
    <w:rsid w:val="1D452349"/>
    <w:rsid w:val="218617B3"/>
    <w:rsid w:val="26D45263"/>
    <w:rsid w:val="2CD63934"/>
    <w:rsid w:val="37712B36"/>
    <w:rsid w:val="3BE26A99"/>
    <w:rsid w:val="44EB2B69"/>
    <w:rsid w:val="52984CE6"/>
    <w:rsid w:val="5DDF7E50"/>
    <w:rsid w:val="63154FA6"/>
    <w:rsid w:val="656E0EF0"/>
    <w:rsid w:val="69855479"/>
    <w:rsid w:val="6B4C0E76"/>
    <w:rsid w:val="6CC37ADF"/>
    <w:rsid w:val="708B5925"/>
    <w:rsid w:val="7B0C2B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99"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99"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unhideWhenUsed="0" w:uiPriority="99" w:semiHidden="0" w:name="annotation subject"/>
    <w:lsdException w:uiPriority="99" w:name="Table Simple 1"/>
    <w:lsdException w:unhideWhenUsed="0" w:uiPriority="0" w:semiHidden="0"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nhideWhenUsed="0" w:uiPriority="0" w:semiHidden="0"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4">
    <w:name w:val="heading 1"/>
    <w:basedOn w:val="1"/>
    <w:next w:val="1"/>
    <w:link w:val="112"/>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5">
    <w:name w:val="heading 2"/>
    <w:basedOn w:val="1"/>
    <w:next w:val="1"/>
    <w:link w:val="113"/>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link w:val="114"/>
    <w:qFormat/>
    <w:uiPriority w:val="9"/>
    <w:pPr>
      <w:keepNext/>
      <w:widowControl/>
      <w:tabs>
        <w:tab w:val="left" w:pos="680"/>
        <w:tab w:val="left" w:pos="1134"/>
        <w:tab w:val="left" w:pos="1701"/>
        <w:tab w:val="left" w:pos="2268"/>
        <w:tab w:val="left" w:pos="2835"/>
        <w:tab w:val="left" w:pos="3402"/>
      </w:tabs>
      <w:spacing w:before="300" w:after="80"/>
      <w:ind w:left="1021" w:hanging="1021"/>
      <w:contextualSpacing/>
      <w:jc w:val="left"/>
      <w:outlineLvl w:val="2"/>
    </w:pPr>
    <w:rPr>
      <w:rFonts w:ascii="Times New Roman" w:hAnsi="Times New Roman" w:eastAsia="宋体" w:cs="Times New Roman"/>
      <w:b/>
      <w:bCs/>
      <w:snapToGrid w:val="0"/>
      <w:color w:val="000000"/>
      <w:kern w:val="0"/>
      <w:sz w:val="36"/>
      <w:szCs w:val="36"/>
      <w:lang w:val="en-GB"/>
    </w:rPr>
  </w:style>
  <w:style w:type="paragraph" w:styleId="7">
    <w:name w:val="heading 4"/>
    <w:basedOn w:val="1"/>
    <w:next w:val="1"/>
    <w:link w:val="115"/>
    <w:qFormat/>
    <w:uiPriority w:val="0"/>
    <w:pPr>
      <w:keepNext/>
      <w:widowControl/>
      <w:tabs>
        <w:tab w:val="left" w:pos="680"/>
        <w:tab w:val="left" w:pos="1134"/>
        <w:tab w:val="left" w:pos="1701"/>
        <w:tab w:val="left" w:pos="2268"/>
        <w:tab w:val="left" w:pos="2835"/>
        <w:tab w:val="left" w:pos="3402"/>
      </w:tabs>
      <w:spacing w:before="300" w:after="80"/>
      <w:ind w:left="1134" w:hanging="1134"/>
      <w:jc w:val="left"/>
      <w:outlineLvl w:val="3"/>
    </w:pPr>
    <w:rPr>
      <w:rFonts w:ascii="Times New Roman" w:hAnsi="Times New Roman" w:eastAsia="宋体" w:cs="Times New Roman"/>
      <w:b/>
      <w:bCs/>
      <w:snapToGrid w:val="0"/>
      <w:color w:val="000000"/>
      <w:kern w:val="0"/>
      <w:sz w:val="28"/>
      <w:szCs w:val="28"/>
      <w:lang w:val="en-GB"/>
    </w:rPr>
  </w:style>
  <w:style w:type="paragraph" w:styleId="8">
    <w:name w:val="heading 5"/>
    <w:basedOn w:val="1"/>
    <w:next w:val="1"/>
    <w:link w:val="116"/>
    <w:qFormat/>
    <w:uiPriority w:val="0"/>
    <w:pPr>
      <w:widowControl/>
      <w:spacing w:before="300" w:after="80"/>
      <w:ind w:left="1247" w:hanging="1247"/>
      <w:jc w:val="left"/>
      <w:outlineLvl w:val="4"/>
    </w:pPr>
    <w:rPr>
      <w:rFonts w:ascii="Arial0" w:hAnsi="Times New Roman" w:eastAsia="Arial0" w:cs="Times New Roman"/>
      <w:b/>
      <w:color w:val="000000"/>
      <w:kern w:val="28"/>
      <w:sz w:val="32"/>
      <w:szCs w:val="20"/>
      <w:lang w:val="en-GB"/>
    </w:rPr>
  </w:style>
  <w:style w:type="paragraph" w:styleId="9">
    <w:name w:val="heading 6"/>
    <w:basedOn w:val="1"/>
    <w:next w:val="1"/>
    <w:link w:val="117"/>
    <w:qFormat/>
    <w:uiPriority w:val="0"/>
    <w:pPr>
      <w:widowControl/>
      <w:spacing w:before="300" w:after="80"/>
      <w:contextualSpacing/>
      <w:jc w:val="left"/>
      <w:outlineLvl w:val="5"/>
    </w:pPr>
    <w:rPr>
      <w:rFonts w:ascii="Times New Roman" w:hAnsi="Times New Roman" w:eastAsia="宋体" w:cs="Times New Roman"/>
      <w:b/>
      <w:bCs/>
      <w:snapToGrid w:val="0"/>
      <w:color w:val="000000"/>
      <w:kern w:val="0"/>
      <w:sz w:val="28"/>
      <w:szCs w:val="28"/>
    </w:rPr>
  </w:style>
  <w:style w:type="paragraph" w:styleId="10">
    <w:name w:val="heading 7"/>
    <w:basedOn w:val="1"/>
    <w:next w:val="1"/>
    <w:link w:val="118"/>
    <w:qFormat/>
    <w:uiPriority w:val="0"/>
    <w:pPr>
      <w:outlineLvl w:val="6"/>
    </w:pPr>
    <w:rPr>
      <w:rFonts w:ascii="Times New Roman" w:hAnsi="Times New Roman" w:eastAsia="宋体" w:cs="Times New Roman"/>
      <w:snapToGrid w:val="0"/>
      <w:vanish/>
      <w:color w:val="000000"/>
      <w:kern w:val="0"/>
      <w:sz w:val="20"/>
      <w:szCs w:val="20"/>
      <w:lang w:val="en-GB"/>
    </w:rPr>
  </w:style>
  <w:style w:type="paragraph" w:styleId="11">
    <w:name w:val="heading 8"/>
    <w:basedOn w:val="1"/>
    <w:next w:val="1"/>
    <w:link w:val="119"/>
    <w:qFormat/>
    <w:uiPriority w:val="0"/>
    <w:pPr>
      <w:tabs>
        <w:tab w:val="right" w:pos="8222"/>
        <w:tab w:val="right" w:pos="9072"/>
      </w:tabs>
      <w:spacing w:before="100" w:after="60"/>
      <w:jc w:val="left"/>
      <w:outlineLvl w:val="7"/>
    </w:pPr>
    <w:rPr>
      <w:rFonts w:ascii="Times New Roman" w:hAnsi="Times New Roman" w:eastAsia="宋体" w:cs="Times New Roman"/>
      <w:snapToGrid w:val="0"/>
      <w:color w:val="000000"/>
      <w:kern w:val="0"/>
      <w:sz w:val="18"/>
      <w:szCs w:val="18"/>
      <w:lang w:val="en-GB"/>
    </w:rPr>
  </w:style>
  <w:style w:type="paragraph" w:styleId="12">
    <w:name w:val="heading 9"/>
    <w:basedOn w:val="1"/>
    <w:next w:val="1"/>
    <w:link w:val="120"/>
    <w:qFormat/>
    <w:uiPriority w:val="0"/>
    <w:pPr>
      <w:tabs>
        <w:tab w:val="right" w:pos="8222"/>
        <w:tab w:val="right" w:leader="dot" w:pos="9072"/>
      </w:tabs>
      <w:spacing w:before="100"/>
      <w:jc w:val="left"/>
      <w:outlineLvl w:val="8"/>
    </w:pPr>
    <w:rPr>
      <w:rFonts w:ascii="Times New Roman" w:hAnsi="Times New Roman" w:eastAsia="宋体" w:cs="Times New Roman"/>
      <w:snapToGrid w:val="0"/>
      <w:color w:val="000000"/>
      <w:kern w:val="0"/>
      <w:sz w:val="18"/>
      <w:szCs w:val="18"/>
      <w:lang w:val="en-GB"/>
    </w:rPr>
  </w:style>
  <w:style w:type="character" w:default="1" w:styleId="92">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Body Text 2"/>
    <w:basedOn w:val="1"/>
    <w:link w:val="140"/>
    <w:uiPriority w:val="0"/>
    <w:pPr>
      <w:spacing w:after="120" w:line="480" w:lineRule="auto"/>
    </w:pPr>
    <w:rPr>
      <w:rFonts w:ascii="Times New Roman" w:hAnsi="Times New Roman" w:eastAsia="宋体" w:cs="Times New Roman"/>
      <w:szCs w:val="24"/>
    </w:rPr>
  </w:style>
  <w:style w:type="paragraph" w:styleId="3">
    <w:name w:val="macro"/>
    <w:link w:val="195"/>
    <w:qFormat/>
    <w:uiPriority w:val="0"/>
    <w:pPr>
      <w:widowControl w:val="0"/>
      <w:tabs>
        <w:tab w:val="left" w:pos="480"/>
        <w:tab w:val="left" w:pos="960"/>
        <w:tab w:val="left" w:pos="1440"/>
        <w:tab w:val="left" w:pos="1920"/>
        <w:tab w:val="left" w:pos="2400"/>
        <w:tab w:val="left" w:pos="2880"/>
        <w:tab w:val="left" w:pos="3360"/>
        <w:tab w:val="left" w:pos="3840"/>
        <w:tab w:val="left" w:pos="4320"/>
      </w:tabs>
      <w:spacing w:before="100"/>
      <w:jc w:val="both"/>
    </w:pPr>
    <w:rPr>
      <w:rFonts w:ascii="Courier New" w:hAnsi="Courier New" w:eastAsia="宋体" w:cs="Courier New"/>
      <w:snapToGrid w:val="0"/>
      <w:color w:val="000000"/>
      <w:lang w:val="en-GB" w:eastAsia="zh-CN" w:bidi="ar-SA"/>
    </w:rPr>
  </w:style>
  <w:style w:type="paragraph" w:styleId="13">
    <w:name w:val="List 3"/>
    <w:basedOn w:val="1"/>
    <w:qFormat/>
    <w:uiPriority w:val="0"/>
    <w:pPr>
      <w:spacing w:before="100"/>
      <w:ind w:left="849" w:hanging="283"/>
    </w:pPr>
    <w:rPr>
      <w:rFonts w:ascii="Times New Roman" w:hAnsi="Times New Roman" w:eastAsia="宋体" w:cs="Times New Roman"/>
      <w:snapToGrid w:val="0"/>
      <w:color w:val="000000"/>
      <w:kern w:val="0"/>
      <w:sz w:val="24"/>
      <w:szCs w:val="24"/>
      <w:lang w:val="en-GB"/>
    </w:rPr>
  </w:style>
  <w:style w:type="paragraph" w:styleId="14">
    <w:name w:val="toc 7"/>
    <w:basedOn w:val="15"/>
    <w:next w:val="1"/>
    <w:qFormat/>
    <w:uiPriority w:val="39"/>
    <w:pPr>
      <w:numPr>
        <w:ilvl w:val="0"/>
        <w:numId w:val="1"/>
      </w:numPr>
      <w:tabs>
        <w:tab w:val="left" w:pos="2211"/>
        <w:tab w:val="clear" w:pos="851"/>
      </w:tabs>
      <w:spacing w:before="80" w:after="40" w:line="280" w:lineRule="exact"/>
    </w:pPr>
    <w:rPr>
      <w:rFonts w:ascii="Times New Roman" w:hAnsi="Times New Roman"/>
      <w:snapToGrid w:val="0"/>
      <w:color w:val="000000"/>
      <w:sz w:val="24"/>
      <w:szCs w:val="24"/>
    </w:rPr>
  </w:style>
  <w:style w:type="paragraph" w:styleId="1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6">
    <w:name w:val="List Number 2"/>
    <w:basedOn w:val="1"/>
    <w:qFormat/>
    <w:uiPriority w:val="0"/>
    <w:pPr>
      <w:tabs>
        <w:tab w:val="left" w:pos="720"/>
      </w:tabs>
      <w:spacing w:before="100"/>
      <w:ind w:left="720" w:hanging="360"/>
    </w:pPr>
    <w:rPr>
      <w:rFonts w:ascii="Times New Roman" w:hAnsi="Times New Roman" w:eastAsia="宋体" w:cs="Times New Roman"/>
      <w:snapToGrid w:val="0"/>
      <w:color w:val="000000"/>
      <w:kern w:val="0"/>
      <w:sz w:val="24"/>
      <w:szCs w:val="24"/>
      <w:lang w:val="en-GB"/>
    </w:rPr>
  </w:style>
  <w:style w:type="paragraph" w:styleId="17">
    <w:name w:val="table of authorities"/>
    <w:basedOn w:val="1"/>
    <w:next w:val="1"/>
    <w:qFormat/>
    <w:uiPriority w:val="0"/>
    <w:pPr>
      <w:spacing w:before="100"/>
      <w:ind w:left="240" w:hanging="240"/>
    </w:pPr>
    <w:rPr>
      <w:rFonts w:ascii="Times New Roman" w:hAnsi="Times New Roman" w:eastAsia="宋体" w:cs="Times New Roman"/>
      <w:snapToGrid w:val="0"/>
      <w:color w:val="000000"/>
      <w:kern w:val="0"/>
      <w:sz w:val="24"/>
      <w:szCs w:val="24"/>
      <w:lang w:val="en-GB"/>
    </w:rPr>
  </w:style>
  <w:style w:type="paragraph" w:styleId="18">
    <w:name w:val="Note Heading"/>
    <w:basedOn w:val="1"/>
    <w:next w:val="1"/>
    <w:link w:val="205"/>
    <w:qFormat/>
    <w:uiPriority w:val="0"/>
    <w:pPr>
      <w:spacing w:before="100"/>
    </w:pPr>
    <w:rPr>
      <w:rFonts w:ascii="Times New Roman" w:hAnsi="Times New Roman" w:eastAsia="宋体" w:cs="Times New Roman"/>
      <w:snapToGrid w:val="0"/>
      <w:color w:val="000000"/>
      <w:kern w:val="0"/>
      <w:sz w:val="24"/>
      <w:szCs w:val="24"/>
      <w:lang w:val="en-GB"/>
    </w:rPr>
  </w:style>
  <w:style w:type="paragraph" w:styleId="19">
    <w:name w:val="List Bullet 4"/>
    <w:basedOn w:val="1"/>
    <w:qFormat/>
    <w:uiPriority w:val="0"/>
    <w:pPr>
      <w:tabs>
        <w:tab w:val="left" w:pos="717"/>
        <w:tab w:val="left" w:pos="1440"/>
      </w:tabs>
      <w:spacing w:before="100"/>
      <w:ind w:left="1440" w:hanging="360"/>
    </w:pPr>
    <w:rPr>
      <w:rFonts w:ascii="Times New Roman" w:hAnsi="Times New Roman" w:eastAsia="宋体" w:cs="Times New Roman"/>
      <w:snapToGrid w:val="0"/>
      <w:color w:val="000000"/>
      <w:kern w:val="0"/>
      <w:sz w:val="24"/>
      <w:szCs w:val="24"/>
      <w:lang w:val="en-GB"/>
    </w:rPr>
  </w:style>
  <w:style w:type="paragraph" w:styleId="20">
    <w:name w:val="index 8"/>
    <w:basedOn w:val="1"/>
    <w:next w:val="1"/>
    <w:qFormat/>
    <w:uiPriority w:val="0"/>
    <w:pPr>
      <w:spacing w:before="100"/>
      <w:ind w:left="1920" w:hanging="240"/>
    </w:pPr>
    <w:rPr>
      <w:rFonts w:ascii="Times New Roman" w:hAnsi="Times New Roman" w:eastAsia="宋体" w:cs="Times New Roman"/>
      <w:snapToGrid w:val="0"/>
      <w:color w:val="000000"/>
      <w:kern w:val="0"/>
      <w:sz w:val="24"/>
      <w:szCs w:val="24"/>
      <w:lang w:val="en-GB"/>
    </w:rPr>
  </w:style>
  <w:style w:type="paragraph" w:styleId="21">
    <w:name w:val="E-mail Signature"/>
    <w:basedOn w:val="1"/>
    <w:link w:val="208"/>
    <w:qFormat/>
    <w:uiPriority w:val="0"/>
    <w:pPr>
      <w:spacing w:before="100"/>
    </w:pPr>
    <w:rPr>
      <w:rFonts w:ascii="Times New Roman" w:hAnsi="Times New Roman" w:eastAsia="宋体" w:cs="Times New Roman"/>
      <w:snapToGrid w:val="0"/>
      <w:color w:val="000000"/>
      <w:kern w:val="0"/>
      <w:sz w:val="24"/>
      <w:szCs w:val="24"/>
      <w:lang w:val="en-GB"/>
    </w:rPr>
  </w:style>
  <w:style w:type="paragraph" w:styleId="22">
    <w:name w:val="List Number"/>
    <w:basedOn w:val="1"/>
    <w:qFormat/>
    <w:uiPriority w:val="99"/>
    <w:pPr>
      <w:tabs>
        <w:tab w:val="left" w:pos="360"/>
      </w:tabs>
      <w:spacing w:before="100"/>
      <w:ind w:left="360" w:hanging="360"/>
    </w:pPr>
    <w:rPr>
      <w:rFonts w:ascii="Times New Roman" w:hAnsi="Times New Roman" w:eastAsia="宋体" w:cs="Times New Roman"/>
      <w:snapToGrid w:val="0"/>
      <w:color w:val="000000"/>
      <w:kern w:val="0"/>
      <w:sz w:val="24"/>
      <w:szCs w:val="20"/>
      <w:lang w:val="en-GB"/>
    </w:rPr>
  </w:style>
  <w:style w:type="paragraph" w:styleId="23">
    <w:name w:val="Normal Indent"/>
    <w:basedOn w:val="1"/>
    <w:qFormat/>
    <w:uiPriority w:val="0"/>
    <w:pPr>
      <w:spacing w:before="100"/>
      <w:ind w:left="720"/>
    </w:pPr>
    <w:rPr>
      <w:rFonts w:ascii="Times New Roman" w:hAnsi="Times New Roman" w:eastAsia="宋体" w:cs="Times New Roman"/>
      <w:snapToGrid w:val="0"/>
      <w:color w:val="000000"/>
      <w:kern w:val="0"/>
      <w:sz w:val="24"/>
      <w:szCs w:val="24"/>
      <w:lang w:val="en-GB"/>
    </w:rPr>
  </w:style>
  <w:style w:type="paragraph" w:styleId="24">
    <w:name w:val="caption"/>
    <w:basedOn w:val="1"/>
    <w:next w:val="1"/>
    <w:qFormat/>
    <w:uiPriority w:val="35"/>
    <w:pPr>
      <w:widowControl/>
      <w:spacing w:before="100" w:after="200" w:line="240" w:lineRule="atLeast"/>
      <w:jc w:val="left"/>
    </w:pPr>
    <w:rPr>
      <w:rFonts w:ascii="Times New Roman" w:hAnsi="Times New Roman" w:eastAsia="宋体" w:cs="Times New Roman"/>
      <w:i/>
      <w:iCs/>
      <w:snapToGrid w:val="0"/>
      <w:color w:val="000000"/>
      <w:kern w:val="0"/>
      <w:sz w:val="20"/>
      <w:szCs w:val="20"/>
    </w:rPr>
  </w:style>
  <w:style w:type="paragraph" w:styleId="25">
    <w:name w:val="index 5"/>
    <w:basedOn w:val="1"/>
    <w:next w:val="1"/>
    <w:qFormat/>
    <w:uiPriority w:val="0"/>
    <w:pPr>
      <w:spacing w:before="100"/>
      <w:ind w:left="1200" w:hanging="240"/>
    </w:pPr>
    <w:rPr>
      <w:rFonts w:ascii="Times New Roman" w:hAnsi="Times New Roman" w:eastAsia="宋体" w:cs="Times New Roman"/>
      <w:snapToGrid w:val="0"/>
      <w:color w:val="000000"/>
      <w:kern w:val="0"/>
      <w:sz w:val="24"/>
      <w:szCs w:val="24"/>
      <w:lang w:val="en-GB"/>
    </w:rPr>
  </w:style>
  <w:style w:type="paragraph" w:styleId="26">
    <w:name w:val="List Bullet"/>
    <w:basedOn w:val="1"/>
    <w:qFormat/>
    <w:uiPriority w:val="99"/>
    <w:pPr>
      <w:tabs>
        <w:tab w:val="left" w:pos="360"/>
      </w:tabs>
      <w:spacing w:before="100"/>
      <w:ind w:left="360" w:hanging="360"/>
    </w:pPr>
    <w:rPr>
      <w:rFonts w:ascii="Times New Roman" w:hAnsi="Times New Roman" w:eastAsia="宋体" w:cs="Times New Roman"/>
      <w:snapToGrid w:val="0"/>
      <w:color w:val="000000"/>
      <w:kern w:val="0"/>
      <w:sz w:val="24"/>
      <w:szCs w:val="24"/>
      <w:lang w:val="en-GB"/>
    </w:rPr>
  </w:style>
  <w:style w:type="paragraph" w:styleId="27">
    <w:name w:val="envelope address"/>
    <w:basedOn w:val="1"/>
    <w:qFormat/>
    <w:uiPriority w:val="0"/>
    <w:pPr>
      <w:framePr w:w="7920" w:h="1980" w:hRule="exact" w:hSpace="180" w:wrap="auto" w:vAnchor="margin" w:hAnchor="page" w:xAlign="center" w:yAlign="bottom"/>
      <w:spacing w:before="100"/>
      <w:ind w:left="2880"/>
    </w:pPr>
    <w:rPr>
      <w:rFonts w:ascii="Arial0" w:hAnsi="Arial0" w:eastAsia="宋体" w:cs="Arial0"/>
      <w:snapToGrid w:val="0"/>
      <w:color w:val="000000"/>
      <w:kern w:val="0"/>
      <w:sz w:val="24"/>
      <w:szCs w:val="24"/>
      <w:lang w:val="en-GB"/>
    </w:rPr>
  </w:style>
  <w:style w:type="paragraph" w:styleId="28">
    <w:name w:val="Document Map"/>
    <w:basedOn w:val="1"/>
    <w:link w:val="121"/>
    <w:qFormat/>
    <w:uiPriority w:val="0"/>
    <w:pPr>
      <w:shd w:val="clear" w:color="auto" w:fill="000080"/>
    </w:pPr>
    <w:rPr>
      <w:rFonts w:ascii="Times New Roman" w:hAnsi="Times New Roman" w:eastAsia="宋体" w:cs="Times New Roman"/>
      <w:szCs w:val="24"/>
    </w:rPr>
  </w:style>
  <w:style w:type="paragraph" w:styleId="29">
    <w:name w:val="toa heading"/>
    <w:basedOn w:val="1"/>
    <w:next w:val="1"/>
    <w:qFormat/>
    <w:uiPriority w:val="0"/>
    <w:pPr>
      <w:spacing w:before="120"/>
    </w:pPr>
    <w:rPr>
      <w:rFonts w:ascii="Arial0" w:hAnsi="Arial0" w:eastAsia="宋体" w:cs="Arial0"/>
      <w:b/>
      <w:bCs/>
      <w:snapToGrid w:val="0"/>
      <w:color w:val="000000"/>
      <w:kern w:val="0"/>
      <w:sz w:val="24"/>
      <w:szCs w:val="24"/>
      <w:lang w:val="en-GB"/>
    </w:rPr>
  </w:style>
  <w:style w:type="paragraph" w:styleId="30">
    <w:name w:val="annotation text"/>
    <w:basedOn w:val="1"/>
    <w:link w:val="136"/>
    <w:unhideWhenUsed/>
    <w:qFormat/>
    <w:uiPriority w:val="99"/>
    <w:pPr>
      <w:jc w:val="left"/>
    </w:pPr>
    <w:rPr>
      <w:rFonts w:ascii="Times New Roman" w:hAnsi="Times New Roman" w:eastAsia="宋体" w:cs="Times New Roman"/>
      <w:szCs w:val="24"/>
    </w:rPr>
  </w:style>
  <w:style w:type="paragraph" w:styleId="31">
    <w:name w:val="index 6"/>
    <w:basedOn w:val="1"/>
    <w:next w:val="1"/>
    <w:qFormat/>
    <w:uiPriority w:val="0"/>
    <w:pPr>
      <w:spacing w:before="100"/>
      <w:ind w:left="1440" w:hanging="240"/>
    </w:pPr>
    <w:rPr>
      <w:rFonts w:ascii="Times New Roman" w:hAnsi="Times New Roman" w:eastAsia="宋体" w:cs="Times New Roman"/>
      <w:snapToGrid w:val="0"/>
      <w:color w:val="000000"/>
      <w:kern w:val="0"/>
      <w:sz w:val="24"/>
      <w:szCs w:val="24"/>
      <w:lang w:val="en-GB"/>
    </w:rPr>
  </w:style>
  <w:style w:type="paragraph" w:styleId="32">
    <w:name w:val="Salutation"/>
    <w:basedOn w:val="1"/>
    <w:next w:val="1"/>
    <w:link w:val="209"/>
    <w:uiPriority w:val="0"/>
    <w:pPr>
      <w:spacing w:before="100"/>
    </w:pPr>
    <w:rPr>
      <w:rFonts w:ascii="Times New Roman" w:hAnsi="Times New Roman" w:eastAsia="宋体" w:cs="Times New Roman"/>
      <w:snapToGrid w:val="0"/>
      <w:color w:val="000000"/>
      <w:kern w:val="0"/>
      <w:sz w:val="24"/>
      <w:szCs w:val="24"/>
      <w:lang w:val="en-GB"/>
    </w:rPr>
  </w:style>
  <w:style w:type="paragraph" w:styleId="33">
    <w:name w:val="Body Text 3"/>
    <w:basedOn w:val="1"/>
    <w:link w:val="198"/>
    <w:uiPriority w:val="0"/>
    <w:pPr>
      <w:spacing w:before="100" w:after="120"/>
    </w:pPr>
    <w:rPr>
      <w:rFonts w:ascii="Times New Roman" w:hAnsi="Times New Roman" w:eastAsia="宋体" w:cs="Times New Roman"/>
      <w:snapToGrid w:val="0"/>
      <w:color w:val="000000"/>
      <w:kern w:val="0"/>
      <w:sz w:val="16"/>
      <w:szCs w:val="16"/>
      <w:lang w:val="en-GB"/>
    </w:rPr>
  </w:style>
  <w:style w:type="paragraph" w:styleId="34">
    <w:name w:val="Closing"/>
    <w:basedOn w:val="1"/>
    <w:link w:val="210"/>
    <w:uiPriority w:val="0"/>
    <w:pPr>
      <w:spacing w:before="100"/>
      <w:ind w:left="4252"/>
    </w:pPr>
    <w:rPr>
      <w:rFonts w:ascii="Times New Roman" w:hAnsi="Times New Roman" w:eastAsia="宋体" w:cs="Times New Roman"/>
      <w:snapToGrid w:val="0"/>
      <w:color w:val="000000"/>
      <w:kern w:val="0"/>
      <w:sz w:val="24"/>
      <w:szCs w:val="24"/>
      <w:lang w:val="en-GB"/>
    </w:rPr>
  </w:style>
  <w:style w:type="paragraph" w:styleId="35">
    <w:name w:val="List Bullet 3"/>
    <w:basedOn w:val="1"/>
    <w:uiPriority w:val="0"/>
    <w:pPr>
      <w:tabs>
        <w:tab w:val="left" w:pos="717"/>
        <w:tab w:val="left" w:pos="1080"/>
      </w:tabs>
      <w:spacing w:before="100"/>
      <w:ind w:left="1080" w:hanging="360"/>
    </w:pPr>
    <w:rPr>
      <w:rFonts w:ascii="Times New Roman" w:hAnsi="Times New Roman" w:eastAsia="宋体" w:cs="Times New Roman"/>
      <w:snapToGrid w:val="0"/>
      <w:color w:val="000000"/>
      <w:kern w:val="0"/>
      <w:sz w:val="24"/>
      <w:szCs w:val="24"/>
      <w:lang w:val="en-GB"/>
    </w:rPr>
  </w:style>
  <w:style w:type="paragraph" w:styleId="36">
    <w:name w:val="Body Text"/>
    <w:basedOn w:val="1"/>
    <w:link w:val="193"/>
    <w:unhideWhenUsed/>
    <w:uiPriority w:val="0"/>
    <w:pPr>
      <w:widowControl/>
      <w:spacing w:before="120" w:after="120" w:line="276" w:lineRule="auto"/>
      <w:jc w:val="left"/>
    </w:pPr>
    <w:rPr>
      <w:rFonts w:ascii="Calibri" w:hAnsi="Calibri" w:eastAsia="宋体" w:cs="Times New Roman"/>
      <w:kern w:val="0"/>
      <w:sz w:val="22"/>
      <w:lang w:val="zh-CN"/>
    </w:rPr>
  </w:style>
  <w:style w:type="paragraph" w:styleId="37">
    <w:name w:val="Body Text Indent"/>
    <w:basedOn w:val="1"/>
    <w:link w:val="132"/>
    <w:unhideWhenUsed/>
    <w:qFormat/>
    <w:uiPriority w:val="99"/>
    <w:pPr>
      <w:spacing w:after="120"/>
      <w:ind w:left="420" w:leftChars="200"/>
    </w:pPr>
    <w:rPr>
      <w:rFonts w:ascii="Calibri" w:hAnsi="Calibri" w:eastAsia="宋体" w:cs="Times New Roman"/>
    </w:rPr>
  </w:style>
  <w:style w:type="paragraph" w:styleId="38">
    <w:name w:val="List Number 3"/>
    <w:basedOn w:val="1"/>
    <w:uiPriority w:val="0"/>
    <w:pPr>
      <w:tabs>
        <w:tab w:val="left" w:pos="1080"/>
      </w:tabs>
      <w:spacing w:before="100"/>
      <w:ind w:left="1080" w:hanging="360"/>
    </w:pPr>
    <w:rPr>
      <w:rFonts w:ascii="Times New Roman" w:hAnsi="Times New Roman" w:eastAsia="宋体" w:cs="Times New Roman"/>
      <w:snapToGrid w:val="0"/>
      <w:color w:val="000000"/>
      <w:kern w:val="0"/>
      <w:sz w:val="24"/>
      <w:szCs w:val="24"/>
      <w:lang w:val="en-GB"/>
    </w:rPr>
  </w:style>
  <w:style w:type="paragraph" w:styleId="39">
    <w:name w:val="List 2"/>
    <w:basedOn w:val="1"/>
    <w:uiPriority w:val="0"/>
    <w:pPr>
      <w:spacing w:before="100"/>
      <w:ind w:left="566" w:hanging="283"/>
    </w:pPr>
    <w:rPr>
      <w:rFonts w:ascii="Times New Roman" w:hAnsi="Times New Roman" w:eastAsia="宋体" w:cs="Times New Roman"/>
      <w:snapToGrid w:val="0"/>
      <w:color w:val="000000"/>
      <w:kern w:val="0"/>
      <w:sz w:val="24"/>
      <w:szCs w:val="24"/>
      <w:lang w:val="en-GB"/>
    </w:rPr>
  </w:style>
  <w:style w:type="paragraph" w:styleId="40">
    <w:name w:val="List Continue"/>
    <w:basedOn w:val="1"/>
    <w:uiPriority w:val="0"/>
    <w:pPr>
      <w:spacing w:before="100" w:after="120"/>
      <w:ind w:left="283"/>
    </w:pPr>
    <w:rPr>
      <w:rFonts w:ascii="Times New Roman" w:hAnsi="Times New Roman" w:eastAsia="宋体" w:cs="Times New Roman"/>
      <w:snapToGrid w:val="0"/>
      <w:color w:val="000000"/>
      <w:kern w:val="0"/>
      <w:sz w:val="24"/>
      <w:szCs w:val="24"/>
      <w:lang w:val="en-GB"/>
    </w:rPr>
  </w:style>
  <w:style w:type="paragraph" w:styleId="41">
    <w:name w:val="Block Text"/>
    <w:basedOn w:val="1"/>
    <w:uiPriority w:val="0"/>
    <w:pPr>
      <w:spacing w:before="100" w:after="120"/>
      <w:ind w:left="1440" w:right="1440"/>
    </w:pPr>
    <w:rPr>
      <w:rFonts w:ascii="Times New Roman" w:hAnsi="Times New Roman" w:eastAsia="宋体" w:cs="Times New Roman"/>
      <w:snapToGrid w:val="0"/>
      <w:color w:val="000000"/>
      <w:kern w:val="0"/>
      <w:sz w:val="24"/>
      <w:szCs w:val="24"/>
      <w:lang w:val="en-GB"/>
    </w:rPr>
  </w:style>
  <w:style w:type="paragraph" w:styleId="42">
    <w:name w:val="List Bullet 2"/>
    <w:basedOn w:val="1"/>
    <w:uiPriority w:val="0"/>
    <w:pPr>
      <w:tabs>
        <w:tab w:val="left" w:pos="720"/>
      </w:tabs>
      <w:spacing w:before="100"/>
      <w:ind w:left="720" w:hanging="360"/>
    </w:pPr>
    <w:rPr>
      <w:rFonts w:ascii="Times New Roman" w:hAnsi="Times New Roman" w:eastAsia="宋体" w:cs="Times New Roman"/>
      <w:snapToGrid w:val="0"/>
      <w:color w:val="000000"/>
      <w:kern w:val="0"/>
      <w:sz w:val="24"/>
      <w:szCs w:val="24"/>
      <w:lang w:val="en-GB"/>
    </w:rPr>
  </w:style>
  <w:style w:type="paragraph" w:styleId="43">
    <w:name w:val="HTML Address"/>
    <w:basedOn w:val="1"/>
    <w:link w:val="212"/>
    <w:uiPriority w:val="0"/>
    <w:pPr>
      <w:spacing w:before="100"/>
    </w:pPr>
    <w:rPr>
      <w:rFonts w:ascii="Times New Roman" w:hAnsi="Times New Roman" w:eastAsia="宋体" w:cs="Times New Roman"/>
      <w:i/>
      <w:iCs/>
      <w:snapToGrid w:val="0"/>
      <w:color w:val="000000"/>
      <w:kern w:val="0"/>
      <w:sz w:val="24"/>
      <w:szCs w:val="24"/>
      <w:lang w:val="en-GB"/>
    </w:rPr>
  </w:style>
  <w:style w:type="paragraph" w:styleId="44">
    <w:name w:val="index 4"/>
    <w:basedOn w:val="1"/>
    <w:next w:val="1"/>
    <w:qFormat/>
    <w:uiPriority w:val="0"/>
    <w:pPr>
      <w:spacing w:before="100"/>
      <w:ind w:left="960" w:hanging="240"/>
    </w:pPr>
    <w:rPr>
      <w:rFonts w:ascii="Times New Roman" w:hAnsi="Times New Roman" w:eastAsia="宋体" w:cs="Times New Roman"/>
      <w:snapToGrid w:val="0"/>
      <w:color w:val="000000"/>
      <w:kern w:val="0"/>
      <w:sz w:val="24"/>
      <w:szCs w:val="24"/>
      <w:lang w:val="en-GB"/>
    </w:rPr>
  </w:style>
  <w:style w:type="paragraph" w:styleId="45">
    <w:name w:val="toc 5"/>
    <w:basedOn w:val="1"/>
    <w:next w:val="1"/>
    <w:uiPriority w:val="39"/>
    <w:pPr>
      <w:tabs>
        <w:tab w:val="right" w:leader="dot" w:pos="9072"/>
      </w:tabs>
      <w:spacing w:before="100" w:line="280" w:lineRule="exact"/>
      <w:ind w:left="1536" w:hanging="680"/>
      <w:jc w:val="left"/>
    </w:pPr>
    <w:rPr>
      <w:rFonts w:ascii="Times New Roman" w:hAnsi="Times New Roman" w:eastAsia="宋体" w:cs="Times New Roman"/>
      <w:snapToGrid w:val="0"/>
      <w:color w:val="000000"/>
      <w:kern w:val="0"/>
      <w:sz w:val="24"/>
      <w:szCs w:val="24"/>
    </w:rPr>
  </w:style>
  <w:style w:type="paragraph" w:styleId="46">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47">
    <w:name w:val="Plain Text"/>
    <w:basedOn w:val="1"/>
    <w:link w:val="143"/>
    <w:uiPriority w:val="0"/>
    <w:rPr>
      <w:rFonts w:ascii="宋体" w:hAnsi="Courier New" w:eastAsia="宋体" w:cs="Times New Roman"/>
    </w:rPr>
  </w:style>
  <w:style w:type="paragraph" w:styleId="48">
    <w:name w:val="List Bullet 5"/>
    <w:basedOn w:val="1"/>
    <w:uiPriority w:val="0"/>
    <w:pPr>
      <w:tabs>
        <w:tab w:val="left" w:pos="1800"/>
      </w:tabs>
      <w:spacing w:before="100"/>
      <w:ind w:left="1800" w:hanging="360"/>
    </w:pPr>
    <w:rPr>
      <w:rFonts w:ascii="Times New Roman" w:hAnsi="Times New Roman" w:eastAsia="宋体" w:cs="Times New Roman"/>
      <w:snapToGrid w:val="0"/>
      <w:color w:val="000000"/>
      <w:kern w:val="0"/>
      <w:sz w:val="24"/>
      <w:szCs w:val="24"/>
      <w:lang w:val="en-GB"/>
    </w:rPr>
  </w:style>
  <w:style w:type="paragraph" w:styleId="49">
    <w:name w:val="List Number 4"/>
    <w:basedOn w:val="1"/>
    <w:uiPriority w:val="0"/>
    <w:pPr>
      <w:tabs>
        <w:tab w:val="left" w:pos="1440"/>
      </w:tabs>
      <w:spacing w:before="100"/>
      <w:ind w:left="1440" w:hanging="360"/>
    </w:pPr>
    <w:rPr>
      <w:rFonts w:ascii="Times New Roman" w:hAnsi="Times New Roman" w:eastAsia="宋体" w:cs="Times New Roman"/>
      <w:snapToGrid w:val="0"/>
      <w:color w:val="000000"/>
      <w:kern w:val="0"/>
      <w:sz w:val="24"/>
      <w:szCs w:val="20"/>
      <w:lang w:val="en-GB"/>
    </w:rPr>
  </w:style>
  <w:style w:type="paragraph" w:styleId="50">
    <w:name w:val="toc 8"/>
    <w:basedOn w:val="1"/>
    <w:next w:val="1"/>
    <w:uiPriority w:val="39"/>
    <w:pPr>
      <w:keepLines/>
      <w:widowControl/>
      <w:tabs>
        <w:tab w:val="left" w:pos="284"/>
        <w:tab w:val="right" w:pos="7371"/>
        <w:tab w:val="right" w:pos="9072"/>
      </w:tabs>
      <w:spacing w:before="200" w:line="240" w:lineRule="exact"/>
      <w:ind w:left="284" w:hanging="284"/>
      <w:jc w:val="left"/>
    </w:pPr>
    <w:rPr>
      <w:rFonts w:ascii="Times New Roman" w:hAnsi="Times New Roman" w:eastAsia="宋体" w:cs="Times New Roman"/>
      <w:snapToGrid w:val="0"/>
      <w:color w:val="000000"/>
      <w:kern w:val="0"/>
      <w:sz w:val="20"/>
      <w:szCs w:val="20"/>
    </w:rPr>
  </w:style>
  <w:style w:type="paragraph" w:styleId="51">
    <w:name w:val="index 3"/>
    <w:basedOn w:val="1"/>
    <w:next w:val="1"/>
    <w:uiPriority w:val="0"/>
    <w:pPr>
      <w:spacing w:before="100"/>
      <w:ind w:left="720" w:hanging="240"/>
    </w:pPr>
    <w:rPr>
      <w:rFonts w:ascii="Times New Roman" w:hAnsi="Times New Roman" w:eastAsia="宋体" w:cs="Times New Roman"/>
      <w:snapToGrid w:val="0"/>
      <w:color w:val="000000"/>
      <w:kern w:val="0"/>
      <w:sz w:val="24"/>
      <w:szCs w:val="24"/>
      <w:lang w:val="en-GB"/>
    </w:rPr>
  </w:style>
  <w:style w:type="paragraph" w:styleId="52">
    <w:name w:val="Date"/>
    <w:basedOn w:val="1"/>
    <w:next w:val="1"/>
    <w:link w:val="124"/>
    <w:unhideWhenUsed/>
    <w:uiPriority w:val="99"/>
    <w:pPr>
      <w:ind w:left="100" w:leftChars="2500"/>
    </w:pPr>
    <w:rPr>
      <w:rFonts w:ascii="Calibri" w:hAnsi="Calibri" w:eastAsia="宋体" w:cs="Times New Roman"/>
    </w:rPr>
  </w:style>
  <w:style w:type="paragraph" w:styleId="53">
    <w:name w:val="Body Text Indent 2"/>
    <w:basedOn w:val="1"/>
    <w:link w:val="128"/>
    <w:qFormat/>
    <w:uiPriority w:val="0"/>
    <w:pPr>
      <w:ind w:firstLine="630"/>
    </w:pPr>
    <w:rPr>
      <w:rFonts w:ascii="Times New Roman" w:hAnsi="Times New Roman" w:eastAsia="仿宋_GB2312" w:cs="Times New Roman"/>
      <w:sz w:val="32"/>
      <w:szCs w:val="24"/>
    </w:rPr>
  </w:style>
  <w:style w:type="paragraph" w:styleId="54">
    <w:name w:val="endnote text"/>
    <w:basedOn w:val="1"/>
    <w:link w:val="213"/>
    <w:uiPriority w:val="0"/>
    <w:pPr>
      <w:spacing w:before="100"/>
    </w:pPr>
    <w:rPr>
      <w:rFonts w:ascii="Times New Roman" w:hAnsi="Times New Roman" w:eastAsia="宋体" w:cs="Times New Roman"/>
      <w:snapToGrid w:val="0"/>
      <w:color w:val="000000"/>
      <w:kern w:val="0"/>
      <w:sz w:val="20"/>
      <w:szCs w:val="20"/>
      <w:lang w:val="en-GB"/>
    </w:rPr>
  </w:style>
  <w:style w:type="paragraph" w:styleId="55">
    <w:name w:val="List Continue 5"/>
    <w:basedOn w:val="1"/>
    <w:uiPriority w:val="0"/>
    <w:pPr>
      <w:spacing w:before="100" w:after="120"/>
      <w:ind w:left="1415"/>
    </w:pPr>
    <w:rPr>
      <w:rFonts w:ascii="Times New Roman" w:hAnsi="Times New Roman" w:eastAsia="宋体" w:cs="Times New Roman"/>
      <w:snapToGrid w:val="0"/>
      <w:color w:val="000000"/>
      <w:kern w:val="0"/>
      <w:sz w:val="24"/>
      <w:szCs w:val="24"/>
      <w:lang w:val="en-GB"/>
    </w:rPr>
  </w:style>
  <w:style w:type="paragraph" w:styleId="56">
    <w:name w:val="Balloon Text"/>
    <w:basedOn w:val="1"/>
    <w:link w:val="123"/>
    <w:unhideWhenUsed/>
    <w:uiPriority w:val="99"/>
    <w:rPr>
      <w:rFonts w:ascii="Calibri" w:hAnsi="Calibri" w:eastAsia="宋体" w:cs="Times New Roman"/>
      <w:sz w:val="18"/>
      <w:szCs w:val="18"/>
    </w:rPr>
  </w:style>
  <w:style w:type="paragraph" w:styleId="57">
    <w:name w:val="footer"/>
    <w:basedOn w:val="1"/>
    <w:link w:val="111"/>
    <w:unhideWhenUsed/>
    <w:qFormat/>
    <w:uiPriority w:val="99"/>
    <w:pPr>
      <w:tabs>
        <w:tab w:val="center" w:pos="4153"/>
        <w:tab w:val="right" w:pos="8306"/>
      </w:tabs>
      <w:snapToGrid w:val="0"/>
      <w:jc w:val="left"/>
    </w:pPr>
    <w:rPr>
      <w:sz w:val="18"/>
      <w:szCs w:val="18"/>
    </w:rPr>
  </w:style>
  <w:style w:type="paragraph" w:styleId="58">
    <w:name w:val="envelope return"/>
    <w:basedOn w:val="1"/>
    <w:uiPriority w:val="0"/>
    <w:pPr>
      <w:spacing w:before="100"/>
    </w:pPr>
    <w:rPr>
      <w:rFonts w:ascii="Arial0" w:hAnsi="Arial0" w:eastAsia="宋体" w:cs="Arial0"/>
      <w:snapToGrid w:val="0"/>
      <w:color w:val="000000"/>
      <w:kern w:val="0"/>
      <w:sz w:val="20"/>
      <w:szCs w:val="20"/>
      <w:lang w:val="en-GB"/>
    </w:rPr>
  </w:style>
  <w:style w:type="paragraph" w:styleId="59">
    <w:name w:val="header"/>
    <w:basedOn w:val="1"/>
    <w:link w:val="110"/>
    <w:unhideWhenUsed/>
    <w:qFormat/>
    <w:uiPriority w:val="99"/>
    <w:pPr>
      <w:pBdr>
        <w:bottom w:val="single" w:color="auto" w:sz="6" w:space="1"/>
      </w:pBdr>
      <w:tabs>
        <w:tab w:val="center" w:pos="4153"/>
        <w:tab w:val="right" w:pos="8306"/>
      </w:tabs>
      <w:snapToGrid w:val="0"/>
      <w:jc w:val="center"/>
    </w:pPr>
    <w:rPr>
      <w:sz w:val="18"/>
      <w:szCs w:val="18"/>
    </w:rPr>
  </w:style>
  <w:style w:type="paragraph" w:styleId="60">
    <w:name w:val="Signature"/>
    <w:basedOn w:val="1"/>
    <w:link w:val="207"/>
    <w:uiPriority w:val="0"/>
    <w:pPr>
      <w:spacing w:before="100"/>
      <w:ind w:left="4252"/>
    </w:pPr>
    <w:rPr>
      <w:rFonts w:ascii="Times New Roman" w:hAnsi="Times New Roman" w:eastAsia="宋体" w:cs="Times New Roman"/>
      <w:snapToGrid w:val="0"/>
      <w:color w:val="000000"/>
      <w:kern w:val="0"/>
      <w:sz w:val="24"/>
      <w:szCs w:val="24"/>
      <w:lang w:val="en-GB"/>
    </w:rPr>
  </w:style>
  <w:style w:type="paragraph" w:styleId="61">
    <w:name w:val="toc 1"/>
    <w:basedOn w:val="1"/>
    <w:next w:val="1"/>
    <w:unhideWhenUsed/>
    <w:qFormat/>
    <w:uiPriority w:val="39"/>
    <w:rPr>
      <w:rFonts w:ascii="Times New Roman" w:hAnsi="Times New Roman" w:eastAsia="宋体" w:cs="Times New Roman"/>
      <w:szCs w:val="24"/>
    </w:rPr>
  </w:style>
  <w:style w:type="paragraph" w:styleId="62">
    <w:name w:val="List Continue 4"/>
    <w:basedOn w:val="1"/>
    <w:uiPriority w:val="0"/>
    <w:pPr>
      <w:spacing w:before="100" w:after="120"/>
      <w:ind w:left="1132"/>
    </w:pPr>
    <w:rPr>
      <w:rFonts w:ascii="Times New Roman" w:hAnsi="Times New Roman" w:eastAsia="宋体" w:cs="Times New Roman"/>
      <w:snapToGrid w:val="0"/>
      <w:color w:val="000000"/>
      <w:kern w:val="0"/>
      <w:sz w:val="24"/>
      <w:szCs w:val="24"/>
      <w:lang w:val="en-GB"/>
    </w:rPr>
  </w:style>
  <w:style w:type="paragraph" w:styleId="63">
    <w:name w:val="toc 4"/>
    <w:basedOn w:val="1"/>
    <w:next w:val="1"/>
    <w:uiPriority w:val="39"/>
    <w:pPr>
      <w:tabs>
        <w:tab w:val="right" w:leader="dot" w:pos="9072"/>
      </w:tabs>
      <w:spacing w:before="100" w:line="280" w:lineRule="exact"/>
      <w:ind w:left="1276" w:hanging="567"/>
      <w:jc w:val="left"/>
    </w:pPr>
    <w:rPr>
      <w:rFonts w:ascii="Times New Roman" w:hAnsi="Times New Roman" w:eastAsia="宋体" w:cs="Times New Roman"/>
      <w:snapToGrid w:val="0"/>
      <w:color w:val="000000"/>
      <w:kern w:val="0"/>
      <w:sz w:val="24"/>
      <w:szCs w:val="24"/>
      <w:lang w:val="en-GB"/>
    </w:rPr>
  </w:style>
  <w:style w:type="paragraph" w:styleId="64">
    <w:name w:val="index heading"/>
    <w:basedOn w:val="1"/>
    <w:next w:val="65"/>
    <w:uiPriority w:val="0"/>
    <w:pPr>
      <w:spacing w:before="100"/>
    </w:pPr>
    <w:rPr>
      <w:rFonts w:ascii="Times New Roman" w:hAnsi="Times New Roman" w:eastAsia="宋体" w:cs="Times New Roman"/>
      <w:snapToGrid w:val="0"/>
      <w:color w:val="000000"/>
      <w:kern w:val="0"/>
      <w:sz w:val="24"/>
      <w:szCs w:val="24"/>
      <w:lang w:val="en-GB"/>
    </w:rPr>
  </w:style>
  <w:style w:type="paragraph" w:styleId="65">
    <w:name w:val="index 1"/>
    <w:basedOn w:val="1"/>
    <w:next w:val="1"/>
    <w:unhideWhenUsed/>
    <w:uiPriority w:val="0"/>
    <w:pPr>
      <w:widowControl/>
      <w:spacing w:before="120" w:after="60" w:line="276" w:lineRule="auto"/>
      <w:ind w:left="220" w:hanging="220"/>
      <w:jc w:val="left"/>
    </w:pPr>
    <w:rPr>
      <w:rFonts w:ascii="Calibri" w:hAnsi="Calibri" w:eastAsia="宋体" w:cs="Times New Roman"/>
      <w:kern w:val="0"/>
      <w:sz w:val="22"/>
      <w:lang w:val="zh-CN"/>
    </w:rPr>
  </w:style>
  <w:style w:type="paragraph" w:styleId="66">
    <w:name w:val="Subtitle"/>
    <w:basedOn w:val="1"/>
    <w:link w:val="217"/>
    <w:qFormat/>
    <w:uiPriority w:val="0"/>
    <w:pPr>
      <w:spacing w:before="100" w:after="60"/>
      <w:jc w:val="center"/>
      <w:outlineLvl w:val="1"/>
    </w:pPr>
    <w:rPr>
      <w:rFonts w:ascii="Arial0" w:hAnsi="Arial0" w:eastAsia="宋体" w:cs="Times New Roman"/>
      <w:snapToGrid w:val="0"/>
      <w:color w:val="000000"/>
      <w:kern w:val="0"/>
      <w:sz w:val="24"/>
      <w:szCs w:val="24"/>
      <w:lang w:val="en-GB"/>
    </w:rPr>
  </w:style>
  <w:style w:type="paragraph" w:styleId="67">
    <w:name w:val="List Number 5"/>
    <w:basedOn w:val="1"/>
    <w:uiPriority w:val="0"/>
    <w:pPr>
      <w:tabs>
        <w:tab w:val="left" w:pos="1800"/>
      </w:tabs>
      <w:spacing w:before="100"/>
      <w:ind w:left="1800" w:hanging="360"/>
    </w:pPr>
    <w:rPr>
      <w:rFonts w:ascii="Times New Roman" w:hAnsi="Times New Roman" w:eastAsia="宋体" w:cs="Times New Roman"/>
      <w:snapToGrid w:val="0"/>
      <w:color w:val="000000"/>
      <w:kern w:val="0"/>
      <w:sz w:val="24"/>
      <w:szCs w:val="20"/>
      <w:lang w:val="en-GB"/>
    </w:rPr>
  </w:style>
  <w:style w:type="paragraph" w:styleId="68">
    <w:name w:val="List"/>
    <w:basedOn w:val="1"/>
    <w:uiPriority w:val="0"/>
    <w:pPr>
      <w:spacing w:before="100"/>
      <w:ind w:left="283" w:hanging="283"/>
    </w:pPr>
    <w:rPr>
      <w:rFonts w:ascii="Times New Roman" w:hAnsi="Times New Roman" w:eastAsia="宋体" w:cs="Times New Roman"/>
      <w:snapToGrid w:val="0"/>
      <w:color w:val="000000"/>
      <w:kern w:val="0"/>
      <w:sz w:val="24"/>
      <w:szCs w:val="24"/>
      <w:lang w:val="en-GB"/>
    </w:rPr>
  </w:style>
  <w:style w:type="paragraph" w:styleId="69">
    <w:name w:val="footnote text"/>
    <w:basedOn w:val="1"/>
    <w:link w:val="219"/>
    <w:uiPriority w:val="0"/>
    <w:pPr>
      <w:spacing w:before="100"/>
    </w:pPr>
    <w:rPr>
      <w:rFonts w:ascii="Times New Roman" w:hAnsi="Times New Roman" w:eastAsia="宋体" w:cs="Times New Roman"/>
      <w:snapToGrid w:val="0"/>
      <w:color w:val="000000"/>
      <w:kern w:val="0"/>
      <w:sz w:val="20"/>
      <w:szCs w:val="20"/>
      <w:lang w:val="en-GB"/>
    </w:rPr>
  </w:style>
  <w:style w:type="paragraph" w:styleId="70">
    <w:name w:val="toc 6"/>
    <w:basedOn w:val="61"/>
    <w:next w:val="1"/>
    <w:uiPriority w:val="39"/>
    <w:pPr>
      <w:widowControl/>
      <w:numPr>
        <w:ilvl w:val="0"/>
        <w:numId w:val="2"/>
      </w:numPr>
      <w:tabs>
        <w:tab w:val="left" w:pos="1843"/>
        <w:tab w:val="clear" w:pos="567"/>
      </w:tabs>
      <w:spacing w:before="180" w:after="80" w:line="280" w:lineRule="exact"/>
      <w:jc w:val="left"/>
    </w:pPr>
    <w:rPr>
      <w:snapToGrid w:val="0"/>
      <w:color w:val="000000"/>
      <w:kern w:val="0"/>
      <w:sz w:val="28"/>
      <w:szCs w:val="28"/>
    </w:rPr>
  </w:style>
  <w:style w:type="paragraph" w:styleId="71">
    <w:name w:val="List 5"/>
    <w:basedOn w:val="1"/>
    <w:uiPriority w:val="0"/>
    <w:pPr>
      <w:spacing w:before="100"/>
      <w:ind w:left="1415" w:hanging="283"/>
    </w:pPr>
    <w:rPr>
      <w:rFonts w:ascii="Times New Roman" w:hAnsi="Times New Roman" w:eastAsia="宋体" w:cs="Times New Roman"/>
      <w:snapToGrid w:val="0"/>
      <w:color w:val="000000"/>
      <w:kern w:val="0"/>
      <w:sz w:val="24"/>
      <w:szCs w:val="24"/>
      <w:lang w:val="en-GB"/>
    </w:rPr>
  </w:style>
  <w:style w:type="paragraph" w:styleId="72">
    <w:name w:val="Body Text Indent 3"/>
    <w:basedOn w:val="1"/>
    <w:link w:val="139"/>
    <w:uiPriority w:val="0"/>
    <w:pPr>
      <w:spacing w:line="300" w:lineRule="exact"/>
      <w:ind w:firstLine="570"/>
    </w:pPr>
    <w:rPr>
      <w:rFonts w:ascii="Times New Roman" w:hAnsi="Times New Roman" w:eastAsia="宋体" w:cs="Times New Roman"/>
      <w:szCs w:val="20"/>
    </w:rPr>
  </w:style>
  <w:style w:type="paragraph" w:styleId="73">
    <w:name w:val="index 7"/>
    <w:basedOn w:val="1"/>
    <w:next w:val="1"/>
    <w:uiPriority w:val="0"/>
    <w:pPr>
      <w:spacing w:before="100"/>
      <w:ind w:left="1680" w:hanging="240"/>
    </w:pPr>
    <w:rPr>
      <w:rFonts w:ascii="Times New Roman" w:hAnsi="Times New Roman" w:eastAsia="宋体" w:cs="Times New Roman"/>
      <w:snapToGrid w:val="0"/>
      <w:color w:val="000000"/>
      <w:kern w:val="0"/>
      <w:sz w:val="24"/>
      <w:szCs w:val="24"/>
      <w:lang w:val="en-GB"/>
    </w:rPr>
  </w:style>
  <w:style w:type="paragraph" w:styleId="74">
    <w:name w:val="index 9"/>
    <w:basedOn w:val="1"/>
    <w:next w:val="1"/>
    <w:uiPriority w:val="0"/>
    <w:pPr>
      <w:spacing w:before="100"/>
      <w:ind w:left="2160" w:hanging="240"/>
    </w:pPr>
    <w:rPr>
      <w:rFonts w:ascii="Times New Roman" w:hAnsi="Times New Roman" w:eastAsia="宋体" w:cs="Times New Roman"/>
      <w:snapToGrid w:val="0"/>
      <w:color w:val="000000"/>
      <w:kern w:val="0"/>
      <w:sz w:val="24"/>
      <w:szCs w:val="24"/>
      <w:lang w:val="en-GB"/>
    </w:rPr>
  </w:style>
  <w:style w:type="paragraph" w:styleId="75">
    <w:name w:val="table of figures"/>
    <w:basedOn w:val="1"/>
    <w:next w:val="1"/>
    <w:uiPriority w:val="0"/>
    <w:pPr>
      <w:widowControl/>
      <w:tabs>
        <w:tab w:val="right" w:leader="dot" w:pos="9072"/>
      </w:tabs>
      <w:spacing w:before="100" w:line="280" w:lineRule="exact"/>
      <w:ind w:left="851" w:hanging="851"/>
      <w:jc w:val="left"/>
    </w:pPr>
    <w:rPr>
      <w:rFonts w:ascii="Times New Roman" w:hAnsi="Times New Roman" w:eastAsia="宋体" w:cs="Times New Roman"/>
      <w:snapToGrid w:val="0"/>
      <w:color w:val="000000"/>
      <w:kern w:val="0"/>
      <w:sz w:val="24"/>
      <w:szCs w:val="24"/>
    </w:rPr>
  </w:style>
  <w:style w:type="paragraph" w:styleId="76">
    <w:name w:val="toc 9"/>
    <w:basedOn w:val="1"/>
    <w:next w:val="1"/>
    <w:uiPriority w:val="39"/>
    <w:pPr>
      <w:widowControl/>
      <w:tabs>
        <w:tab w:val="right" w:leader="dot" w:pos="8505"/>
        <w:tab w:val="right" w:leader="dot" w:pos="9072"/>
      </w:tabs>
      <w:spacing w:before="100" w:line="240" w:lineRule="exact"/>
      <w:jc w:val="left"/>
    </w:pPr>
    <w:rPr>
      <w:rFonts w:ascii="Times New Roman" w:hAnsi="Times New Roman" w:eastAsia="宋体" w:cs="Times New Roman"/>
      <w:snapToGrid w:val="0"/>
      <w:color w:val="000000"/>
      <w:kern w:val="0"/>
      <w:sz w:val="20"/>
      <w:szCs w:val="20"/>
    </w:rPr>
  </w:style>
  <w:style w:type="paragraph" w:styleId="77">
    <w:name w:val="List 4"/>
    <w:basedOn w:val="1"/>
    <w:uiPriority w:val="0"/>
    <w:pPr>
      <w:spacing w:before="100"/>
      <w:ind w:left="1132" w:hanging="283"/>
    </w:pPr>
    <w:rPr>
      <w:rFonts w:ascii="Times New Roman" w:hAnsi="Times New Roman" w:eastAsia="宋体" w:cs="Times New Roman"/>
      <w:snapToGrid w:val="0"/>
      <w:color w:val="000000"/>
      <w:kern w:val="0"/>
      <w:sz w:val="24"/>
      <w:szCs w:val="24"/>
      <w:lang w:val="en-GB"/>
    </w:rPr>
  </w:style>
  <w:style w:type="paragraph" w:styleId="78">
    <w:name w:val="List Continue 2"/>
    <w:basedOn w:val="1"/>
    <w:uiPriority w:val="0"/>
    <w:pPr>
      <w:spacing w:before="100" w:after="120"/>
      <w:ind w:left="566"/>
    </w:pPr>
    <w:rPr>
      <w:rFonts w:ascii="Times New Roman" w:hAnsi="Times New Roman" w:eastAsia="宋体" w:cs="Times New Roman"/>
      <w:snapToGrid w:val="0"/>
      <w:color w:val="000000"/>
      <w:kern w:val="0"/>
      <w:sz w:val="24"/>
      <w:szCs w:val="24"/>
      <w:lang w:val="en-GB"/>
    </w:rPr>
  </w:style>
  <w:style w:type="paragraph" w:styleId="79">
    <w:name w:val="Message Header"/>
    <w:basedOn w:val="1"/>
    <w:link w:val="220"/>
    <w:uiPriority w:val="0"/>
    <w:pPr>
      <w:pBdr>
        <w:top w:val="single" w:color="auto" w:sz="6" w:space="1"/>
        <w:left w:val="single" w:color="auto" w:sz="6" w:space="1"/>
        <w:bottom w:val="single" w:color="auto" w:sz="6" w:space="1"/>
        <w:right w:val="single" w:color="auto" w:sz="6" w:space="1"/>
      </w:pBdr>
      <w:shd w:val="pct20" w:color="auto" w:fill="auto"/>
      <w:spacing w:before="100"/>
      <w:ind w:left="1134" w:hanging="1134"/>
    </w:pPr>
    <w:rPr>
      <w:rFonts w:ascii="Arial0" w:hAnsi="Arial0" w:eastAsia="宋体" w:cs="Times New Roman"/>
      <w:snapToGrid w:val="0"/>
      <w:color w:val="000000"/>
      <w:kern w:val="0"/>
      <w:sz w:val="24"/>
      <w:szCs w:val="24"/>
      <w:lang w:val="en-GB"/>
    </w:rPr>
  </w:style>
  <w:style w:type="paragraph" w:styleId="80">
    <w:name w:val="HTML Preformatted"/>
    <w:basedOn w:val="1"/>
    <w:link w:val="221"/>
    <w:uiPriority w:val="0"/>
    <w:pPr>
      <w:spacing w:before="100"/>
    </w:pPr>
    <w:rPr>
      <w:rFonts w:ascii="Courier New" w:hAnsi="Courier New" w:eastAsia="宋体" w:cs="Times New Roman"/>
      <w:snapToGrid w:val="0"/>
      <w:color w:val="000000"/>
      <w:kern w:val="0"/>
      <w:sz w:val="20"/>
      <w:szCs w:val="20"/>
      <w:lang w:val="en-GB"/>
    </w:rPr>
  </w:style>
  <w:style w:type="paragraph" w:styleId="81">
    <w:name w:val="Normal (Web)"/>
    <w:basedOn w:val="1"/>
    <w:uiPriority w:val="99"/>
    <w:rPr>
      <w:rFonts w:ascii="Times New Roman" w:hAnsi="Times New Roman" w:eastAsia="宋体" w:cs="Times New Roman"/>
      <w:snapToGrid w:val="0"/>
      <w:color w:val="000000"/>
      <w:kern w:val="0"/>
      <w:sz w:val="24"/>
      <w:szCs w:val="24"/>
      <w:lang w:val="en-GB"/>
    </w:rPr>
  </w:style>
  <w:style w:type="paragraph" w:styleId="82">
    <w:name w:val="List Continue 3"/>
    <w:basedOn w:val="1"/>
    <w:uiPriority w:val="0"/>
    <w:pPr>
      <w:spacing w:before="100" w:after="120"/>
      <w:ind w:left="849"/>
    </w:pPr>
    <w:rPr>
      <w:rFonts w:ascii="Times New Roman" w:hAnsi="Times New Roman" w:eastAsia="宋体" w:cs="Times New Roman"/>
      <w:snapToGrid w:val="0"/>
      <w:color w:val="000000"/>
      <w:kern w:val="0"/>
      <w:sz w:val="24"/>
      <w:szCs w:val="24"/>
      <w:lang w:val="en-GB"/>
    </w:rPr>
  </w:style>
  <w:style w:type="paragraph" w:styleId="83">
    <w:name w:val="index 2"/>
    <w:basedOn w:val="1"/>
    <w:next w:val="1"/>
    <w:uiPriority w:val="0"/>
    <w:pPr>
      <w:spacing w:before="100"/>
      <w:ind w:left="480" w:hanging="240"/>
    </w:pPr>
    <w:rPr>
      <w:rFonts w:ascii="Times New Roman" w:hAnsi="Times New Roman" w:eastAsia="宋体" w:cs="Times New Roman"/>
      <w:snapToGrid w:val="0"/>
      <w:color w:val="000000"/>
      <w:kern w:val="0"/>
      <w:sz w:val="24"/>
      <w:szCs w:val="24"/>
      <w:lang w:val="en-GB"/>
    </w:rPr>
  </w:style>
  <w:style w:type="paragraph" w:styleId="84">
    <w:name w:val="Title"/>
    <w:basedOn w:val="1"/>
    <w:link w:val="223"/>
    <w:qFormat/>
    <w:uiPriority w:val="10"/>
    <w:pPr>
      <w:spacing w:before="240" w:after="60"/>
      <w:jc w:val="center"/>
      <w:outlineLvl w:val="0"/>
    </w:pPr>
    <w:rPr>
      <w:rFonts w:ascii="Arial0" w:hAnsi="Arial0" w:eastAsia="宋体" w:cs="Times New Roman"/>
      <w:b/>
      <w:bCs/>
      <w:snapToGrid w:val="0"/>
      <w:color w:val="000000"/>
      <w:kern w:val="28"/>
      <w:sz w:val="32"/>
      <w:szCs w:val="32"/>
      <w:lang w:val="en-GB"/>
    </w:rPr>
  </w:style>
  <w:style w:type="paragraph" w:styleId="85">
    <w:name w:val="annotation subject"/>
    <w:basedOn w:val="30"/>
    <w:next w:val="30"/>
    <w:link w:val="144"/>
    <w:uiPriority w:val="99"/>
    <w:rPr>
      <w:b/>
      <w:bCs/>
    </w:rPr>
  </w:style>
  <w:style w:type="paragraph" w:styleId="86">
    <w:name w:val="Body Text First Indent"/>
    <w:basedOn w:val="36"/>
    <w:link w:val="194"/>
    <w:uiPriority w:val="0"/>
    <w:pPr>
      <w:widowControl w:val="0"/>
      <w:spacing w:before="100" w:line="240" w:lineRule="auto"/>
      <w:ind w:firstLine="210"/>
      <w:jc w:val="both"/>
    </w:pPr>
    <w:rPr>
      <w:snapToGrid w:val="0"/>
      <w:color w:val="000000"/>
      <w:sz w:val="24"/>
      <w:szCs w:val="24"/>
      <w:lang w:val="en-GB"/>
    </w:rPr>
  </w:style>
  <w:style w:type="paragraph" w:styleId="87">
    <w:name w:val="Body Text First Indent 2"/>
    <w:basedOn w:val="37"/>
    <w:link w:val="196"/>
    <w:uiPriority w:val="0"/>
    <w:pPr>
      <w:spacing w:before="100"/>
      <w:ind w:left="283" w:leftChars="0" w:firstLine="210"/>
    </w:pPr>
    <w:rPr>
      <w:rFonts w:ascii="Times New Roman" w:hAnsi="Times New Roman"/>
      <w:snapToGrid w:val="0"/>
      <w:color w:val="000000"/>
      <w:sz w:val="24"/>
      <w:szCs w:val="24"/>
      <w:lang w:val="en-GB"/>
    </w:rPr>
  </w:style>
  <w:style w:type="table" w:styleId="89">
    <w:name w:val="Table Grid"/>
    <w:basedOn w:val="88"/>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Simple 2"/>
    <w:basedOn w:val="88"/>
    <w:uiPriority w:val="0"/>
    <w:pPr>
      <w:spacing w:before="240" w:after="60"/>
      <w:ind w:left="170"/>
    </w:pPr>
    <w:rPr>
      <w:rFonts w:ascii="Times New Roman" w:hAnsi="Times New Roman" w:eastAsia="宋体" w:cs="Times New Roman"/>
      <w:lang w:val="de-DE" w:eastAsia="de-DE"/>
    </w:rPr>
    <w:tblPr/>
    <w:tblStylePr w:type="firstRow">
      <w:rPr>
        <w:rFonts w:cs="Times New Roman"/>
        <w:b/>
        <w:bCs/>
      </w:rPr>
      <w:tblPr/>
      <w:tcPr>
        <w:tcBorders>
          <w:bottom w:val="single" w:color="000000" w:sz="12" w:space="0"/>
          <w:tl2br w:val="nil"/>
          <w:tr2bl w:val="nil"/>
        </w:tcBorders>
      </w:tcPr>
    </w:tblStylePr>
    <w:tblStylePr w:type="lastRow">
      <w:rPr>
        <w:rFonts w:cs="Times New Roman"/>
        <w:b/>
        <w:bCs/>
        <w:color w:val="auto"/>
      </w:rPr>
      <w:tblPr/>
      <w:tcPr>
        <w:tcBorders>
          <w:top w:val="single" w:color="000000" w:sz="6" w:space="0"/>
          <w:tl2br w:val="nil"/>
          <w:tr2bl w:val="nil"/>
        </w:tcBorders>
      </w:tcPr>
    </w:tblStylePr>
    <w:tblStylePr w:type="firstCol">
      <w:rPr>
        <w:rFonts w:cs="Times New Roman"/>
        <w:b/>
        <w:bCs/>
      </w:rPr>
      <w:tblPr/>
      <w:tcPr>
        <w:tcBorders>
          <w:right w:val="single" w:color="000000" w:sz="12" w:space="0"/>
          <w:tl2br w:val="nil"/>
          <w:tr2bl w:val="nil"/>
        </w:tcBorders>
      </w:tcPr>
    </w:tblStylePr>
    <w:tblStylePr w:type="lastCol">
      <w:rPr>
        <w:rFonts w:cs="Times New Roman"/>
        <w:b/>
        <w:bCs/>
      </w:rPr>
      <w:tblPr/>
      <w:tcPr>
        <w:tcBorders>
          <w:left w:val="single" w:color="000000" w:sz="6" w:space="0"/>
          <w:tl2br w:val="nil"/>
          <w:tr2bl w:val="nil"/>
        </w:tcBorders>
      </w:tcPr>
    </w:tblStylePr>
    <w:tblStylePr w:type="neCell">
      <w:rPr>
        <w:rFonts w:cs="Times New Roman"/>
        <w:b/>
        <w:bCs/>
      </w:rPr>
      <w:tblPr/>
      <w:tcPr>
        <w:tcBorders>
          <w:left w:val="nil"/>
          <w:tl2br w:val="nil"/>
          <w:tr2bl w:val="nil"/>
        </w:tcBorders>
      </w:tcPr>
    </w:tblStylePr>
    <w:tblStylePr w:type="swCell">
      <w:rPr>
        <w:rFonts w:cs="Times New Roman"/>
        <w:b/>
        <w:bCs/>
      </w:rPr>
      <w:tblPr/>
      <w:tcPr>
        <w:tcBorders>
          <w:top w:val="nil"/>
          <w:tl2br w:val="nil"/>
          <w:tr2bl w:val="nil"/>
        </w:tcBorders>
      </w:tcPr>
    </w:tblStylePr>
  </w:style>
  <w:style w:type="table" w:styleId="91">
    <w:name w:val="Table Columns 4"/>
    <w:basedOn w:val="88"/>
    <w:uiPriority w:val="0"/>
    <w:pPr>
      <w:widowControl w:val="0"/>
      <w:spacing w:before="100"/>
      <w:jc w:val="both"/>
    </w:pPr>
    <w:rPr>
      <w:rFonts w:ascii="Times New Roman" w:hAnsi="Times New Roman" w:eastAsia="宋体" w:cs="Times New Roman"/>
      <w:lang w:val="en-GB"/>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93">
    <w:name w:val="Strong"/>
    <w:qFormat/>
    <w:uiPriority w:val="22"/>
    <w:rPr>
      <w:b/>
      <w:bCs/>
    </w:rPr>
  </w:style>
  <w:style w:type="character" w:styleId="94">
    <w:name w:val="endnote reference"/>
    <w:uiPriority w:val="99"/>
    <w:rPr>
      <w:vertAlign w:val="superscript"/>
      <w:lang w:val="en-GB"/>
    </w:rPr>
  </w:style>
  <w:style w:type="character" w:styleId="95">
    <w:name w:val="page number"/>
    <w:basedOn w:val="92"/>
    <w:uiPriority w:val="0"/>
  </w:style>
  <w:style w:type="character" w:styleId="96">
    <w:name w:val="FollowedHyperlink"/>
    <w:qFormat/>
    <w:uiPriority w:val="0"/>
    <w:rPr>
      <w:color w:val="800080"/>
      <w:u w:val="single"/>
      <w:lang w:val="en-GB"/>
    </w:rPr>
  </w:style>
  <w:style w:type="character" w:styleId="97">
    <w:name w:val="Emphasis"/>
    <w:qFormat/>
    <w:uiPriority w:val="0"/>
    <w:rPr>
      <w:i/>
      <w:lang w:val="en-GB"/>
    </w:rPr>
  </w:style>
  <w:style w:type="character" w:styleId="98">
    <w:name w:val="line number"/>
    <w:uiPriority w:val="0"/>
    <w:rPr>
      <w:rFonts w:cs="Times New Roman"/>
      <w:lang w:val="en-GB"/>
    </w:rPr>
  </w:style>
  <w:style w:type="character" w:styleId="99">
    <w:name w:val="HTML Definition"/>
    <w:uiPriority w:val="0"/>
    <w:rPr>
      <w:i/>
      <w:lang w:val="en-GB"/>
    </w:rPr>
  </w:style>
  <w:style w:type="character" w:styleId="100">
    <w:name w:val="HTML Typewriter"/>
    <w:qFormat/>
    <w:uiPriority w:val="0"/>
    <w:rPr>
      <w:rFonts w:ascii="Courier New" w:hAnsi="Courier New"/>
      <w:sz w:val="20"/>
      <w:lang w:val="en-GB"/>
    </w:rPr>
  </w:style>
  <w:style w:type="character" w:styleId="101">
    <w:name w:val="HTML Acronym"/>
    <w:uiPriority w:val="0"/>
    <w:rPr>
      <w:rFonts w:cs="Times New Roman"/>
      <w:lang w:val="en-GB"/>
    </w:rPr>
  </w:style>
  <w:style w:type="character" w:styleId="102">
    <w:name w:val="HTML Variable"/>
    <w:uiPriority w:val="0"/>
    <w:rPr>
      <w:i/>
      <w:lang w:val="en-GB"/>
    </w:rPr>
  </w:style>
  <w:style w:type="character" w:styleId="103">
    <w:name w:val="Hyperlink"/>
    <w:uiPriority w:val="99"/>
    <w:rPr>
      <w:color w:val="0000FF"/>
      <w:u w:val="single"/>
    </w:rPr>
  </w:style>
  <w:style w:type="character" w:styleId="104">
    <w:name w:val="HTML Code"/>
    <w:uiPriority w:val="0"/>
    <w:rPr>
      <w:rFonts w:ascii="Courier New" w:hAnsi="Courier New"/>
      <w:sz w:val="20"/>
      <w:lang w:val="en-GB"/>
    </w:rPr>
  </w:style>
  <w:style w:type="character" w:styleId="105">
    <w:name w:val="annotation reference"/>
    <w:uiPriority w:val="99"/>
    <w:rPr>
      <w:sz w:val="21"/>
      <w:szCs w:val="21"/>
    </w:rPr>
  </w:style>
  <w:style w:type="character" w:styleId="106">
    <w:name w:val="HTML Cite"/>
    <w:uiPriority w:val="0"/>
    <w:rPr>
      <w:i/>
      <w:lang w:val="en-GB"/>
    </w:rPr>
  </w:style>
  <w:style w:type="character" w:styleId="107">
    <w:name w:val="footnote reference"/>
    <w:uiPriority w:val="99"/>
    <w:rPr>
      <w:vertAlign w:val="superscript"/>
      <w:lang w:val="en-GB"/>
    </w:rPr>
  </w:style>
  <w:style w:type="character" w:styleId="108">
    <w:name w:val="HTML Keyboard"/>
    <w:uiPriority w:val="0"/>
    <w:rPr>
      <w:rFonts w:ascii="Courier New" w:hAnsi="Courier New"/>
      <w:sz w:val="20"/>
      <w:lang w:val="en-GB"/>
    </w:rPr>
  </w:style>
  <w:style w:type="character" w:styleId="109">
    <w:name w:val="HTML Sample"/>
    <w:uiPriority w:val="0"/>
    <w:rPr>
      <w:rFonts w:ascii="Courier New" w:hAnsi="Courier New"/>
      <w:lang w:val="en-GB"/>
    </w:rPr>
  </w:style>
  <w:style w:type="character" w:customStyle="1" w:styleId="110">
    <w:name w:val="页眉 字符"/>
    <w:basedOn w:val="92"/>
    <w:link w:val="59"/>
    <w:qFormat/>
    <w:uiPriority w:val="99"/>
    <w:rPr>
      <w:sz w:val="18"/>
      <w:szCs w:val="18"/>
    </w:rPr>
  </w:style>
  <w:style w:type="character" w:customStyle="1" w:styleId="111">
    <w:name w:val="页脚 字符"/>
    <w:basedOn w:val="92"/>
    <w:link w:val="57"/>
    <w:qFormat/>
    <w:uiPriority w:val="99"/>
    <w:rPr>
      <w:sz w:val="18"/>
      <w:szCs w:val="18"/>
    </w:rPr>
  </w:style>
  <w:style w:type="character" w:customStyle="1" w:styleId="112">
    <w:name w:val="标题 1 字符"/>
    <w:basedOn w:val="92"/>
    <w:link w:val="4"/>
    <w:qFormat/>
    <w:uiPriority w:val="9"/>
    <w:rPr>
      <w:rFonts w:ascii="Calibri" w:hAnsi="Calibri" w:eastAsia="宋体" w:cs="Times New Roman"/>
      <w:b/>
      <w:bCs/>
      <w:kern w:val="44"/>
      <w:sz w:val="44"/>
      <w:szCs w:val="44"/>
    </w:rPr>
  </w:style>
  <w:style w:type="character" w:customStyle="1" w:styleId="113">
    <w:name w:val="标题 2 字符"/>
    <w:basedOn w:val="92"/>
    <w:link w:val="5"/>
    <w:qFormat/>
    <w:uiPriority w:val="9"/>
    <w:rPr>
      <w:rFonts w:ascii="Cambria" w:hAnsi="Cambria" w:eastAsia="宋体" w:cs="Times New Roman"/>
      <w:b/>
      <w:bCs/>
      <w:sz w:val="32"/>
      <w:szCs w:val="32"/>
    </w:rPr>
  </w:style>
  <w:style w:type="character" w:customStyle="1" w:styleId="114">
    <w:name w:val="标题 3 字符"/>
    <w:basedOn w:val="92"/>
    <w:link w:val="6"/>
    <w:qFormat/>
    <w:uiPriority w:val="9"/>
    <w:rPr>
      <w:rFonts w:ascii="Times New Roman" w:hAnsi="Times New Roman" w:eastAsia="宋体" w:cs="Times New Roman"/>
      <w:b/>
      <w:bCs/>
      <w:snapToGrid w:val="0"/>
      <w:color w:val="000000"/>
      <w:kern w:val="0"/>
      <w:sz w:val="36"/>
      <w:szCs w:val="36"/>
      <w:lang w:val="en-GB"/>
    </w:rPr>
  </w:style>
  <w:style w:type="character" w:customStyle="1" w:styleId="115">
    <w:name w:val="标题 4 字符"/>
    <w:basedOn w:val="92"/>
    <w:link w:val="7"/>
    <w:qFormat/>
    <w:uiPriority w:val="0"/>
    <w:rPr>
      <w:rFonts w:ascii="Times New Roman" w:hAnsi="Times New Roman" w:eastAsia="宋体" w:cs="Times New Roman"/>
      <w:b/>
      <w:bCs/>
      <w:snapToGrid w:val="0"/>
      <w:color w:val="000000"/>
      <w:kern w:val="0"/>
      <w:sz w:val="28"/>
      <w:szCs w:val="28"/>
      <w:lang w:val="en-GB"/>
    </w:rPr>
  </w:style>
  <w:style w:type="character" w:customStyle="1" w:styleId="116">
    <w:name w:val="标题 5 字符"/>
    <w:basedOn w:val="92"/>
    <w:link w:val="8"/>
    <w:qFormat/>
    <w:uiPriority w:val="0"/>
    <w:rPr>
      <w:rFonts w:ascii="Arial0" w:hAnsi="Times New Roman" w:eastAsia="Arial0" w:cs="Times New Roman"/>
      <w:b/>
      <w:color w:val="000000"/>
      <w:kern w:val="28"/>
      <w:sz w:val="32"/>
      <w:szCs w:val="20"/>
      <w:lang w:val="en-GB"/>
    </w:rPr>
  </w:style>
  <w:style w:type="character" w:customStyle="1" w:styleId="117">
    <w:name w:val="标题 6 字符"/>
    <w:basedOn w:val="92"/>
    <w:link w:val="9"/>
    <w:qFormat/>
    <w:uiPriority w:val="0"/>
    <w:rPr>
      <w:rFonts w:ascii="Times New Roman" w:hAnsi="Times New Roman" w:eastAsia="宋体" w:cs="Times New Roman"/>
      <w:b/>
      <w:bCs/>
      <w:snapToGrid w:val="0"/>
      <w:color w:val="000000"/>
      <w:kern w:val="0"/>
      <w:sz w:val="28"/>
      <w:szCs w:val="28"/>
    </w:rPr>
  </w:style>
  <w:style w:type="character" w:customStyle="1" w:styleId="118">
    <w:name w:val="标题 7 字符"/>
    <w:basedOn w:val="92"/>
    <w:link w:val="10"/>
    <w:qFormat/>
    <w:uiPriority w:val="0"/>
    <w:rPr>
      <w:rFonts w:ascii="Times New Roman" w:hAnsi="Times New Roman" w:eastAsia="宋体" w:cs="Times New Roman"/>
      <w:snapToGrid w:val="0"/>
      <w:vanish/>
      <w:color w:val="000000"/>
      <w:kern w:val="0"/>
      <w:sz w:val="20"/>
      <w:szCs w:val="20"/>
      <w:lang w:val="en-GB"/>
    </w:rPr>
  </w:style>
  <w:style w:type="character" w:customStyle="1" w:styleId="119">
    <w:name w:val="标题 8 字符"/>
    <w:basedOn w:val="92"/>
    <w:link w:val="11"/>
    <w:qFormat/>
    <w:uiPriority w:val="0"/>
    <w:rPr>
      <w:rFonts w:ascii="Times New Roman" w:hAnsi="Times New Roman" w:eastAsia="宋体" w:cs="Times New Roman"/>
      <w:snapToGrid w:val="0"/>
      <w:color w:val="000000"/>
      <w:kern w:val="0"/>
      <w:sz w:val="18"/>
      <w:szCs w:val="18"/>
      <w:lang w:val="en-GB"/>
    </w:rPr>
  </w:style>
  <w:style w:type="character" w:customStyle="1" w:styleId="120">
    <w:name w:val="标题 9 字符"/>
    <w:basedOn w:val="92"/>
    <w:link w:val="12"/>
    <w:qFormat/>
    <w:uiPriority w:val="0"/>
    <w:rPr>
      <w:rFonts w:ascii="Times New Roman" w:hAnsi="Times New Roman" w:eastAsia="宋体" w:cs="Times New Roman"/>
      <w:snapToGrid w:val="0"/>
      <w:color w:val="000000"/>
      <w:kern w:val="0"/>
      <w:sz w:val="18"/>
      <w:szCs w:val="18"/>
      <w:lang w:val="en-GB"/>
    </w:rPr>
  </w:style>
  <w:style w:type="character" w:customStyle="1" w:styleId="121">
    <w:name w:val="文档结构图 字符"/>
    <w:basedOn w:val="92"/>
    <w:link w:val="28"/>
    <w:qFormat/>
    <w:uiPriority w:val="0"/>
    <w:rPr>
      <w:rFonts w:ascii="Times New Roman" w:hAnsi="Times New Roman" w:eastAsia="宋体" w:cs="Times New Roman"/>
      <w:szCs w:val="24"/>
      <w:shd w:val="clear" w:color="auto" w:fill="000080"/>
    </w:rPr>
  </w:style>
  <w:style w:type="paragraph" w:styleId="122">
    <w:name w:val="List Paragraph"/>
    <w:basedOn w:val="1"/>
    <w:qFormat/>
    <w:uiPriority w:val="34"/>
    <w:pPr>
      <w:ind w:firstLine="420" w:firstLineChars="200"/>
      <w:jc w:val="left"/>
    </w:pPr>
    <w:rPr>
      <w:rFonts w:ascii="Calibri" w:hAnsi="Calibri" w:eastAsia="宋体" w:cs="Times New Roman"/>
    </w:rPr>
  </w:style>
  <w:style w:type="character" w:customStyle="1" w:styleId="123">
    <w:name w:val="批注框文本 字符"/>
    <w:basedOn w:val="92"/>
    <w:link w:val="56"/>
    <w:uiPriority w:val="99"/>
    <w:rPr>
      <w:rFonts w:ascii="Calibri" w:hAnsi="Calibri" w:eastAsia="宋体" w:cs="Times New Roman"/>
      <w:sz w:val="18"/>
      <w:szCs w:val="18"/>
    </w:rPr>
  </w:style>
  <w:style w:type="character" w:customStyle="1" w:styleId="124">
    <w:name w:val="日期 字符"/>
    <w:basedOn w:val="92"/>
    <w:link w:val="52"/>
    <w:uiPriority w:val="99"/>
    <w:rPr>
      <w:rFonts w:ascii="Calibri" w:hAnsi="Calibri" w:eastAsia="宋体" w:cs="Times New Roman"/>
    </w:rPr>
  </w:style>
  <w:style w:type="character" w:customStyle="1" w:styleId="125">
    <w:name w:val="t_tag"/>
    <w:qFormat/>
    <w:uiPriority w:val="0"/>
  </w:style>
  <w:style w:type="paragraph" w:customStyle="1" w:styleId="126">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7">
    <w:name w:val="列出段落2"/>
    <w:basedOn w:val="1"/>
    <w:qFormat/>
    <w:uiPriority w:val="0"/>
    <w:pPr>
      <w:ind w:firstLine="420" w:firstLineChars="200"/>
    </w:pPr>
    <w:rPr>
      <w:rFonts w:ascii="Calibri" w:hAnsi="Calibri" w:eastAsia="宋体" w:cs="Calibri"/>
    </w:rPr>
  </w:style>
  <w:style w:type="character" w:customStyle="1" w:styleId="128">
    <w:name w:val="正文文本缩进 2 字符"/>
    <w:basedOn w:val="92"/>
    <w:link w:val="53"/>
    <w:qFormat/>
    <w:uiPriority w:val="0"/>
    <w:rPr>
      <w:rFonts w:ascii="Times New Roman" w:hAnsi="Times New Roman" w:eastAsia="仿宋_GB2312" w:cs="Times New Roman"/>
      <w:sz w:val="32"/>
      <w:szCs w:val="24"/>
    </w:rPr>
  </w:style>
  <w:style w:type="character" w:customStyle="1" w:styleId="129">
    <w:name w:val="article_f14"/>
    <w:qFormat/>
    <w:uiPriority w:val="0"/>
  </w:style>
  <w:style w:type="paragraph" w:customStyle="1" w:styleId="130">
    <w:name w:val="Char Char Char Char Char Char Char Char Char1 Char Char Char Char Char Char Char Char Char Char Char Char Char"/>
    <w:basedOn w:val="4"/>
    <w:qFormat/>
    <w:uiPriority w:val="0"/>
    <w:pPr>
      <w:snapToGrid w:val="0"/>
      <w:spacing w:before="240" w:after="240" w:line="348" w:lineRule="auto"/>
    </w:pPr>
    <w:rPr>
      <w:rFonts w:ascii="Times New Roman" w:hAnsi="Times New Roman"/>
      <w:bCs w:val="0"/>
      <w:szCs w:val="20"/>
    </w:rPr>
  </w:style>
  <w:style w:type="paragraph" w:customStyle="1" w:styleId="13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32">
    <w:name w:val="正文文本缩进 字符"/>
    <w:basedOn w:val="92"/>
    <w:link w:val="37"/>
    <w:qFormat/>
    <w:uiPriority w:val="99"/>
    <w:rPr>
      <w:rFonts w:ascii="Calibri" w:hAnsi="Calibri" w:eastAsia="宋体" w:cs="Times New Roman"/>
    </w:rPr>
  </w:style>
  <w:style w:type="paragraph" w:customStyle="1" w:styleId="133">
    <w:name w:val="列出段落1"/>
    <w:basedOn w:val="1"/>
    <w:qFormat/>
    <w:uiPriority w:val="0"/>
    <w:pPr>
      <w:ind w:firstLine="420" w:firstLineChars="200"/>
    </w:pPr>
    <w:rPr>
      <w:rFonts w:ascii="Times New Roman" w:hAnsi="Times New Roman" w:eastAsia="宋体" w:cs="Times New Roman"/>
      <w:szCs w:val="24"/>
    </w:rPr>
  </w:style>
  <w:style w:type="paragraph" w:customStyle="1" w:styleId="134">
    <w:name w:val="TOC 标题1"/>
    <w:basedOn w:val="4"/>
    <w:next w:val="1"/>
    <w:unhideWhenUsed/>
    <w:qFormat/>
    <w:uiPriority w:val="39"/>
    <w:pPr>
      <w:widowControl/>
      <w:spacing w:before="480" w:after="0" w:line="276" w:lineRule="auto"/>
      <w:jc w:val="left"/>
      <w:outlineLvl w:val="9"/>
    </w:pPr>
    <w:rPr>
      <w:rFonts w:ascii="Cambria" w:hAnsi="Cambria" w:eastAsia="黑体" w:cs="黑体"/>
      <w:color w:val="365F90"/>
      <w:kern w:val="0"/>
      <w:sz w:val="28"/>
      <w:szCs w:val="28"/>
    </w:rPr>
  </w:style>
  <w:style w:type="paragraph" w:customStyle="1" w:styleId="135">
    <w:name w:val="TOC 标题2"/>
    <w:basedOn w:val="4"/>
    <w:next w:val="1"/>
    <w:unhideWhenUsed/>
    <w:qFormat/>
    <w:uiPriority w:val="39"/>
    <w:pPr>
      <w:outlineLvl w:val="9"/>
    </w:pPr>
    <w:rPr>
      <w:rFonts w:ascii="Times New Roman" w:hAnsi="Times New Roman" w:eastAsia="黑体"/>
      <w:sz w:val="32"/>
    </w:rPr>
  </w:style>
  <w:style w:type="character" w:customStyle="1" w:styleId="136">
    <w:name w:val="批注文字 字符"/>
    <w:basedOn w:val="92"/>
    <w:link w:val="30"/>
    <w:uiPriority w:val="99"/>
    <w:rPr>
      <w:rFonts w:ascii="Times New Roman" w:hAnsi="Times New Roman" w:eastAsia="宋体" w:cs="Times New Roman"/>
      <w:szCs w:val="24"/>
    </w:rPr>
  </w:style>
  <w:style w:type="paragraph" w:customStyle="1" w:styleId="137">
    <w:name w:val="王奕改内文"/>
    <w:basedOn w:val="1"/>
    <w:link w:val="138"/>
    <w:uiPriority w:val="0"/>
    <w:pPr>
      <w:widowControl/>
      <w:spacing w:line="360" w:lineRule="auto"/>
      <w:ind w:firstLine="200" w:firstLineChars="200"/>
    </w:pPr>
    <w:rPr>
      <w:rFonts w:ascii="宋体" w:hAnsi="宋体" w:eastAsia="宋体" w:cs="MS Shell Dlg"/>
      <w:color w:val="000000"/>
      <w:spacing w:val="-4"/>
      <w:kern w:val="0"/>
      <w:sz w:val="24"/>
      <w:szCs w:val="24"/>
    </w:rPr>
  </w:style>
  <w:style w:type="character" w:customStyle="1" w:styleId="138">
    <w:name w:val="王奕改内文 Char"/>
    <w:link w:val="137"/>
    <w:uiPriority w:val="0"/>
    <w:rPr>
      <w:rFonts w:ascii="宋体" w:hAnsi="宋体" w:eastAsia="宋体" w:cs="MS Shell Dlg"/>
      <w:color w:val="000000"/>
      <w:spacing w:val="-4"/>
      <w:kern w:val="0"/>
      <w:sz w:val="24"/>
      <w:szCs w:val="24"/>
    </w:rPr>
  </w:style>
  <w:style w:type="character" w:customStyle="1" w:styleId="139">
    <w:name w:val="正文文本缩进 3 字符"/>
    <w:basedOn w:val="92"/>
    <w:link w:val="72"/>
    <w:uiPriority w:val="0"/>
    <w:rPr>
      <w:rFonts w:ascii="Times New Roman" w:hAnsi="Times New Roman" w:eastAsia="宋体" w:cs="Times New Roman"/>
      <w:szCs w:val="20"/>
    </w:rPr>
  </w:style>
  <w:style w:type="character" w:customStyle="1" w:styleId="140">
    <w:name w:val="正文文本 2 字符"/>
    <w:basedOn w:val="92"/>
    <w:link w:val="2"/>
    <w:uiPriority w:val="0"/>
    <w:rPr>
      <w:rFonts w:ascii="Times New Roman" w:hAnsi="Times New Roman" w:eastAsia="宋体" w:cs="Times New Roman"/>
      <w:szCs w:val="24"/>
    </w:rPr>
  </w:style>
  <w:style w:type="character" w:customStyle="1" w:styleId="141">
    <w:name w:val="tpc_content1"/>
    <w:uiPriority w:val="0"/>
    <w:rPr>
      <w:sz w:val="20"/>
      <w:szCs w:val="20"/>
    </w:rPr>
  </w:style>
  <w:style w:type="paragraph" w:customStyle="1" w:styleId="142">
    <w:name w:val="a"/>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3">
    <w:name w:val="纯文本 字符"/>
    <w:basedOn w:val="92"/>
    <w:link w:val="47"/>
    <w:uiPriority w:val="0"/>
    <w:rPr>
      <w:rFonts w:ascii="宋体" w:hAnsi="Courier New" w:eastAsia="宋体" w:cs="Times New Roman"/>
      <w:szCs w:val="21"/>
    </w:rPr>
  </w:style>
  <w:style w:type="character" w:customStyle="1" w:styleId="144">
    <w:name w:val="批注主题 字符"/>
    <w:basedOn w:val="136"/>
    <w:link w:val="85"/>
    <w:uiPriority w:val="99"/>
    <w:rPr>
      <w:rFonts w:ascii="Times New Roman" w:hAnsi="Times New Roman" w:eastAsia="宋体" w:cs="Times New Roman"/>
      <w:b/>
      <w:bCs/>
      <w:szCs w:val="24"/>
    </w:rPr>
  </w:style>
  <w:style w:type="paragraph" w:customStyle="1" w:styleId="145">
    <w:name w:val="段"/>
    <w:link w:val="146"/>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6">
    <w:name w:val="段 Char"/>
    <w:link w:val="145"/>
    <w:uiPriority w:val="0"/>
    <w:rPr>
      <w:rFonts w:ascii="宋体" w:hAnsi="Times New Roman" w:eastAsia="宋体" w:cs="Times New Roman"/>
      <w:kern w:val="0"/>
      <w:szCs w:val="20"/>
    </w:rPr>
  </w:style>
  <w:style w:type="paragraph" w:customStyle="1" w:styleId="147">
    <w:name w:val="A0E349F008B644AAB6A282E0D042D17E"/>
    <w:qFormat/>
    <w:uiPriority w:val="0"/>
    <w:pPr>
      <w:spacing w:after="200" w:line="276" w:lineRule="auto"/>
    </w:pPr>
    <w:rPr>
      <w:rFonts w:ascii="Calibri" w:hAnsi="Calibri" w:eastAsia="宋体" w:cs="Times New Roman"/>
      <w:sz w:val="22"/>
      <w:szCs w:val="21"/>
      <w:lang w:val="zh-CN" w:eastAsia="zh-CN" w:bidi="ar-SA"/>
    </w:rPr>
  </w:style>
  <w:style w:type="character" w:customStyle="1" w:styleId="148">
    <w:name w:val="Char Char16"/>
    <w:locked/>
    <w:uiPriority w:val="0"/>
  </w:style>
  <w:style w:type="character" w:customStyle="1" w:styleId="149">
    <w:name w:val="tw4winTerm"/>
    <w:uiPriority w:val="0"/>
    <w:rPr>
      <w:color w:val="0000FF"/>
    </w:rPr>
  </w:style>
  <w:style w:type="character" w:customStyle="1" w:styleId="150">
    <w:name w:val="Char Char23"/>
    <w:locked/>
    <w:uiPriority w:val="0"/>
    <w:rPr>
      <w:color w:val="000000"/>
      <w:sz w:val="24"/>
      <w:lang w:val="en-GB"/>
    </w:rPr>
  </w:style>
  <w:style w:type="character" w:customStyle="1" w:styleId="151">
    <w:name w:val="tw4winExternal"/>
    <w:uiPriority w:val="0"/>
    <w:rPr>
      <w:rFonts w:ascii="Courier New" w:hAnsi="Courier New"/>
      <w:color w:val="808080"/>
      <w:lang w:val="en-US" w:eastAsia="zh-CN"/>
    </w:rPr>
  </w:style>
  <w:style w:type="character" w:customStyle="1" w:styleId="152">
    <w:name w:val="Char Char14"/>
    <w:locked/>
    <w:uiPriority w:val="0"/>
    <w:rPr>
      <w:color w:val="000000"/>
      <w:sz w:val="16"/>
      <w:lang w:val="en-GB"/>
    </w:rPr>
  </w:style>
  <w:style w:type="character" w:customStyle="1" w:styleId="153">
    <w:name w:val="Char Char28"/>
    <w:locked/>
    <w:uiPriority w:val="0"/>
    <w:rPr>
      <w:color w:val="000000"/>
      <w:sz w:val="24"/>
      <w:lang w:val="en-GB"/>
    </w:rPr>
  </w:style>
  <w:style w:type="character" w:customStyle="1" w:styleId="154">
    <w:name w:val="tw4winInternal"/>
    <w:uiPriority w:val="0"/>
    <w:rPr>
      <w:rFonts w:ascii="Courier New" w:hAnsi="Courier New"/>
      <w:color w:val="FF0000"/>
      <w:lang w:val="en-US" w:eastAsia="zh-CN"/>
    </w:rPr>
  </w:style>
  <w:style w:type="character" w:customStyle="1" w:styleId="155">
    <w:name w:val="tw4winJump"/>
    <w:uiPriority w:val="0"/>
    <w:rPr>
      <w:rFonts w:ascii="Courier New" w:hAnsi="Courier New"/>
      <w:color w:val="008080"/>
      <w:lang w:val="en-US" w:eastAsia="zh-CN"/>
    </w:rPr>
  </w:style>
  <w:style w:type="character" w:customStyle="1" w:styleId="156">
    <w:name w:val="Char Char13"/>
    <w:locked/>
    <w:uiPriority w:val="0"/>
    <w:rPr>
      <w:color w:val="000000"/>
      <w:sz w:val="24"/>
      <w:lang w:val="en-GB"/>
    </w:rPr>
  </w:style>
  <w:style w:type="character" w:customStyle="1" w:styleId="157">
    <w:name w:val="Char Char1"/>
    <w:locked/>
    <w:uiPriority w:val="0"/>
    <w:rPr>
      <w:rFonts w:ascii="Arial0" w:eastAsia="Arial0"/>
      <w:color w:val="000000"/>
      <w:sz w:val="24"/>
      <w:lang w:val="en-GB"/>
    </w:rPr>
  </w:style>
  <w:style w:type="character" w:customStyle="1" w:styleId="158">
    <w:name w:val="Char Char8"/>
    <w:locked/>
    <w:uiPriority w:val="0"/>
    <w:rPr>
      <w:i/>
      <w:color w:val="000000"/>
      <w:sz w:val="24"/>
      <w:lang w:val="en-GB"/>
    </w:rPr>
  </w:style>
  <w:style w:type="character" w:customStyle="1" w:styleId="159">
    <w:name w:val="HeadLine1 Char Char"/>
    <w:locked/>
    <w:uiPriority w:val="0"/>
    <w:rPr>
      <w:b/>
      <w:color w:val="000000"/>
      <w:sz w:val="48"/>
      <w:lang w:val="en-GB"/>
    </w:rPr>
  </w:style>
  <w:style w:type="character" w:customStyle="1" w:styleId="160">
    <w:name w:val="Char Char27"/>
    <w:locked/>
    <w:uiPriority w:val="0"/>
    <w:rPr>
      <w:color w:val="000000"/>
      <w:sz w:val="16"/>
      <w:lang w:val="en-GB"/>
    </w:rPr>
  </w:style>
  <w:style w:type="character" w:customStyle="1" w:styleId="161">
    <w:name w:val="Char Char11"/>
    <w:locked/>
    <w:uiPriority w:val="0"/>
    <w:rPr>
      <w:color w:val="000000"/>
      <w:sz w:val="24"/>
      <w:lang w:val="en-GB"/>
    </w:rPr>
  </w:style>
  <w:style w:type="character" w:customStyle="1" w:styleId="162">
    <w:name w:val="Char Char10"/>
    <w:semiHidden/>
    <w:locked/>
    <w:uiPriority w:val="0"/>
    <w:rPr>
      <w:color w:val="000000"/>
      <w:lang w:val="en-GB"/>
    </w:rPr>
  </w:style>
  <w:style w:type="character" w:customStyle="1" w:styleId="163">
    <w:name w:val="tw4winMark"/>
    <w:uiPriority w:val="0"/>
    <w:rPr>
      <w:rFonts w:ascii="Courier New" w:hAnsi="Courier New"/>
      <w:vanish/>
      <w:color w:val="800080"/>
      <w:vertAlign w:val="subscript"/>
    </w:rPr>
  </w:style>
  <w:style w:type="character" w:customStyle="1" w:styleId="164">
    <w:name w:val="Char Char21"/>
    <w:semiHidden/>
    <w:locked/>
    <w:uiPriority w:val="0"/>
    <w:rPr>
      <w:b/>
      <w:color w:val="000000"/>
      <w:lang w:val="en-GB"/>
    </w:rPr>
  </w:style>
  <w:style w:type="character" w:customStyle="1" w:styleId="165">
    <w:name w:val="Char Char5"/>
    <w:locked/>
    <w:uiPriority w:val="0"/>
    <w:rPr>
      <w:rFonts w:ascii="Arial0" w:eastAsia="Arial0"/>
      <w:color w:val="000000"/>
      <w:sz w:val="24"/>
      <w:shd w:val="pct20" w:color="auto" w:fill="auto"/>
      <w:lang w:val="en-GB"/>
    </w:rPr>
  </w:style>
  <w:style w:type="character" w:customStyle="1" w:styleId="166">
    <w:name w:val="HeadLine2 Char Char"/>
    <w:locked/>
    <w:uiPriority w:val="0"/>
    <w:rPr>
      <w:b/>
      <w:color w:val="000000"/>
      <w:sz w:val="36"/>
      <w:lang w:val="en-GB"/>
    </w:rPr>
  </w:style>
  <w:style w:type="character" w:customStyle="1" w:styleId="167">
    <w:name w:val="Char Char12"/>
    <w:locked/>
    <w:uiPriority w:val="0"/>
    <w:rPr>
      <w:color w:val="000000"/>
      <w:sz w:val="24"/>
      <w:lang w:val="en-GB"/>
    </w:rPr>
  </w:style>
  <w:style w:type="character" w:customStyle="1" w:styleId="168">
    <w:name w:val="Char Char7"/>
    <w:locked/>
    <w:uiPriority w:val="0"/>
    <w:rPr>
      <w:rFonts w:ascii="Courier New" w:hAnsi="Courier New"/>
      <w:color w:val="000000"/>
      <w:lang w:val="en-GB"/>
    </w:rPr>
  </w:style>
  <w:style w:type="character" w:customStyle="1" w:styleId="169">
    <w:name w:val="Char Char26"/>
    <w:semiHidden/>
    <w:locked/>
    <w:uiPriority w:val="0"/>
    <w:rPr>
      <w:rFonts w:ascii="Times New Roman" w:hAnsi="Times New Roman"/>
      <w:color w:val="000000"/>
      <w:sz w:val="24"/>
      <w:shd w:val="clear" w:color="auto" w:fill="000080"/>
      <w:lang w:val="en-GB"/>
    </w:rPr>
  </w:style>
  <w:style w:type="character" w:customStyle="1" w:styleId="170">
    <w:name w:val="HeadLine8 Char Char"/>
    <w:locked/>
    <w:uiPriority w:val="0"/>
    <w:rPr>
      <w:color w:val="000000"/>
      <w:sz w:val="18"/>
      <w:lang w:val="en-GB"/>
    </w:rPr>
  </w:style>
  <w:style w:type="character" w:customStyle="1" w:styleId="171">
    <w:name w:val="HeadLine4 Char Char"/>
    <w:locked/>
    <w:uiPriority w:val="0"/>
    <w:rPr>
      <w:b/>
      <w:color w:val="000000"/>
      <w:sz w:val="28"/>
      <w:lang w:val="en-GB"/>
    </w:rPr>
  </w:style>
  <w:style w:type="character" w:customStyle="1" w:styleId="172">
    <w:name w:val="Char Char6"/>
    <w:semiHidden/>
    <w:locked/>
    <w:uiPriority w:val="0"/>
    <w:rPr>
      <w:rFonts w:ascii="Courier New" w:hAnsi="Courier New"/>
      <w:color w:val="000000"/>
      <w:lang w:val="en-GB"/>
    </w:rPr>
  </w:style>
  <w:style w:type="character" w:customStyle="1" w:styleId="173">
    <w:name w:val="Char Char17"/>
    <w:locked/>
    <w:uiPriority w:val="0"/>
    <w:rPr>
      <w:color w:val="000000"/>
      <w:sz w:val="24"/>
      <w:lang w:val="en-GB"/>
    </w:rPr>
  </w:style>
  <w:style w:type="character" w:customStyle="1" w:styleId="174">
    <w:name w:val="Char Char24"/>
    <w:locked/>
    <w:uiPriority w:val="0"/>
    <w:rPr>
      <w:color w:val="008080"/>
      <w:sz w:val="24"/>
      <w:lang w:val="en-GB"/>
    </w:rPr>
  </w:style>
  <w:style w:type="character" w:customStyle="1" w:styleId="175">
    <w:name w:val="Char Char18"/>
    <w:locked/>
    <w:uiPriority w:val="0"/>
    <w:rPr>
      <w:color w:val="000000"/>
      <w:sz w:val="24"/>
      <w:lang w:val="en-GB"/>
    </w:rPr>
  </w:style>
  <w:style w:type="character" w:customStyle="1" w:styleId="176">
    <w:name w:val="tw4winError"/>
    <w:uiPriority w:val="0"/>
    <w:rPr>
      <w:rFonts w:ascii="Courier New" w:hAnsi="Courier New"/>
      <w:color w:val="00FF00"/>
      <w:sz w:val="40"/>
    </w:rPr>
  </w:style>
  <w:style w:type="character" w:customStyle="1" w:styleId="177">
    <w:name w:val="Char Char4"/>
    <w:locked/>
    <w:uiPriority w:val="0"/>
    <w:rPr>
      <w:rFonts w:ascii="Courier New" w:hAnsi="Courier New"/>
      <w:color w:val="000000"/>
      <w:lang w:val="en-GB"/>
    </w:rPr>
  </w:style>
  <w:style w:type="character" w:customStyle="1" w:styleId="178">
    <w:name w:val="HeadLine3 Char Char"/>
    <w:locked/>
    <w:uiPriority w:val="0"/>
    <w:rPr>
      <w:b/>
      <w:color w:val="000000"/>
      <w:sz w:val="36"/>
      <w:lang w:val="en-GB"/>
    </w:rPr>
  </w:style>
  <w:style w:type="character" w:customStyle="1" w:styleId="179">
    <w:name w:val="Char Char20"/>
    <w:semiHidden/>
    <w:qFormat/>
    <w:locked/>
    <w:uiPriority w:val="0"/>
    <w:rPr>
      <w:rFonts w:ascii="Times New Roman" w:hAnsi="Times New Roman"/>
      <w:color w:val="000000"/>
      <w:sz w:val="16"/>
      <w:lang w:val="en-GB"/>
    </w:rPr>
  </w:style>
  <w:style w:type="character" w:customStyle="1" w:styleId="180">
    <w:name w:val="Char Char22"/>
    <w:semiHidden/>
    <w:qFormat/>
    <w:locked/>
    <w:uiPriority w:val="0"/>
    <w:rPr>
      <w:color w:val="000000"/>
      <w:lang w:val="en-GB"/>
    </w:rPr>
  </w:style>
  <w:style w:type="character" w:customStyle="1" w:styleId="181">
    <w:name w:val="tw4winPopup"/>
    <w:qFormat/>
    <w:uiPriority w:val="0"/>
    <w:rPr>
      <w:rFonts w:ascii="Courier New" w:hAnsi="Courier New"/>
      <w:color w:val="008000"/>
      <w:lang w:val="en-US" w:eastAsia="zh-CN"/>
    </w:rPr>
  </w:style>
  <w:style w:type="character" w:customStyle="1" w:styleId="182">
    <w:name w:val="Char Char2"/>
    <w:qFormat/>
    <w:locked/>
    <w:uiPriority w:val="0"/>
    <w:rPr>
      <w:color w:val="000000"/>
      <w:sz w:val="24"/>
      <w:lang w:val="en-GB"/>
    </w:rPr>
  </w:style>
  <w:style w:type="character" w:customStyle="1" w:styleId="183">
    <w:name w:val="Char Char15"/>
    <w:qFormat/>
    <w:locked/>
    <w:uiPriority w:val="0"/>
    <w:rPr>
      <w:color w:val="000000"/>
      <w:sz w:val="24"/>
      <w:lang w:val="en-GB"/>
    </w:rPr>
  </w:style>
  <w:style w:type="character" w:customStyle="1" w:styleId="184">
    <w:name w:val="Char Char3"/>
    <w:qFormat/>
    <w:locked/>
    <w:uiPriority w:val="0"/>
    <w:rPr>
      <w:color w:val="000000"/>
      <w:sz w:val="24"/>
      <w:lang w:val="en-GB"/>
    </w:rPr>
  </w:style>
  <w:style w:type="character" w:customStyle="1" w:styleId="185">
    <w:name w:val="Char Char25"/>
    <w:qFormat/>
    <w:locked/>
    <w:uiPriority w:val="0"/>
    <w:rPr>
      <w:color w:val="000000"/>
      <w:sz w:val="24"/>
      <w:lang w:val="en-GB"/>
    </w:rPr>
  </w:style>
  <w:style w:type="character" w:customStyle="1" w:styleId="186">
    <w:name w:val="DO_NOT_TRANSLATE"/>
    <w:qFormat/>
    <w:uiPriority w:val="0"/>
    <w:rPr>
      <w:rFonts w:ascii="Courier New" w:hAnsi="Courier New"/>
      <w:color w:val="800000"/>
      <w:lang w:val="en-US" w:eastAsia="zh-CN"/>
    </w:rPr>
  </w:style>
  <w:style w:type="character" w:customStyle="1" w:styleId="187">
    <w:name w:val="Char Char9"/>
    <w:semiHidden/>
    <w:qFormat/>
    <w:locked/>
    <w:uiPriority w:val="0"/>
    <w:rPr>
      <w:color w:val="000000"/>
      <w:lang w:val="en-GB"/>
    </w:rPr>
  </w:style>
  <w:style w:type="character" w:customStyle="1" w:styleId="188">
    <w:name w:val="HeadLine7 Char Char"/>
    <w:qFormat/>
    <w:locked/>
    <w:uiPriority w:val="0"/>
    <w:rPr>
      <w:vanish/>
      <w:color w:val="000000"/>
      <w:lang w:val="en-GB"/>
    </w:rPr>
  </w:style>
  <w:style w:type="character" w:customStyle="1" w:styleId="189">
    <w:name w:val="Char Char19"/>
    <w:qFormat/>
    <w:locked/>
    <w:uiPriority w:val="0"/>
    <w:rPr>
      <w:color w:val="000000"/>
      <w:sz w:val="24"/>
      <w:lang w:val="en-GB"/>
    </w:rPr>
  </w:style>
  <w:style w:type="character" w:customStyle="1" w:styleId="190">
    <w:name w:val="HeadLine9 Char Char"/>
    <w:qFormat/>
    <w:locked/>
    <w:uiPriority w:val="0"/>
    <w:rPr>
      <w:color w:val="000000"/>
      <w:sz w:val="18"/>
      <w:lang w:val="en-GB"/>
    </w:rPr>
  </w:style>
  <w:style w:type="character" w:customStyle="1" w:styleId="191">
    <w:name w:val="HeadLine5 Char Char"/>
    <w:qFormat/>
    <w:locked/>
    <w:uiPriority w:val="0"/>
    <w:rPr>
      <w:b/>
      <w:color w:val="000000"/>
      <w:sz w:val="28"/>
      <w:lang w:val="en-US" w:eastAsia="zh-CN"/>
    </w:rPr>
  </w:style>
  <w:style w:type="character" w:customStyle="1" w:styleId="192">
    <w:name w:val="HeadLine6 Char Char"/>
    <w:qFormat/>
    <w:locked/>
    <w:uiPriority w:val="0"/>
    <w:rPr>
      <w:b/>
      <w:color w:val="000000"/>
      <w:sz w:val="28"/>
      <w:lang w:val="en-US" w:eastAsia="zh-CN"/>
    </w:rPr>
  </w:style>
  <w:style w:type="character" w:customStyle="1" w:styleId="193">
    <w:name w:val="正文文本 字符"/>
    <w:basedOn w:val="92"/>
    <w:link w:val="36"/>
    <w:qFormat/>
    <w:uiPriority w:val="0"/>
    <w:rPr>
      <w:rFonts w:ascii="Calibri" w:hAnsi="Calibri" w:eastAsia="宋体" w:cs="Times New Roman"/>
      <w:kern w:val="0"/>
      <w:sz w:val="22"/>
      <w:lang w:val="zh-CN"/>
    </w:rPr>
  </w:style>
  <w:style w:type="character" w:customStyle="1" w:styleId="194">
    <w:name w:val="正文首行缩进 字符"/>
    <w:basedOn w:val="193"/>
    <w:link w:val="86"/>
    <w:qFormat/>
    <w:uiPriority w:val="0"/>
    <w:rPr>
      <w:rFonts w:ascii="Calibri" w:hAnsi="Calibri" w:eastAsia="宋体" w:cs="Times New Roman"/>
      <w:snapToGrid w:val="0"/>
      <w:color w:val="000000"/>
      <w:kern w:val="0"/>
      <w:sz w:val="24"/>
      <w:szCs w:val="24"/>
      <w:lang w:val="en-GB"/>
    </w:rPr>
  </w:style>
  <w:style w:type="character" w:customStyle="1" w:styleId="195">
    <w:name w:val="宏文本 字符"/>
    <w:basedOn w:val="92"/>
    <w:link w:val="3"/>
    <w:qFormat/>
    <w:uiPriority w:val="0"/>
    <w:rPr>
      <w:rFonts w:ascii="Courier New" w:hAnsi="Courier New" w:eastAsia="宋体" w:cs="Courier New"/>
      <w:snapToGrid w:val="0"/>
      <w:color w:val="000000"/>
      <w:kern w:val="0"/>
      <w:sz w:val="20"/>
      <w:szCs w:val="20"/>
      <w:lang w:val="en-GB"/>
    </w:rPr>
  </w:style>
  <w:style w:type="character" w:customStyle="1" w:styleId="196">
    <w:name w:val="正文首行缩进 2 字符"/>
    <w:basedOn w:val="132"/>
    <w:link w:val="87"/>
    <w:qFormat/>
    <w:uiPriority w:val="0"/>
    <w:rPr>
      <w:rFonts w:ascii="Times New Roman" w:hAnsi="Times New Roman" w:eastAsia="宋体" w:cs="Times New Roman"/>
      <w:snapToGrid w:val="0"/>
      <w:color w:val="000000"/>
      <w:sz w:val="24"/>
      <w:szCs w:val="24"/>
      <w:lang w:val="en-GB"/>
    </w:rPr>
  </w:style>
  <w:style w:type="character" w:customStyle="1" w:styleId="197">
    <w:name w:val="正文文本缩进 Char1"/>
    <w:qFormat/>
    <w:uiPriority w:val="0"/>
    <w:rPr>
      <w:kern w:val="2"/>
      <w:sz w:val="21"/>
      <w:szCs w:val="24"/>
    </w:rPr>
  </w:style>
  <w:style w:type="character" w:customStyle="1" w:styleId="198">
    <w:name w:val="正文文本 3 字符"/>
    <w:basedOn w:val="92"/>
    <w:link w:val="33"/>
    <w:qFormat/>
    <w:uiPriority w:val="0"/>
    <w:rPr>
      <w:rFonts w:ascii="Times New Roman" w:hAnsi="Times New Roman" w:eastAsia="宋体" w:cs="Times New Roman"/>
      <w:snapToGrid w:val="0"/>
      <w:color w:val="000000"/>
      <w:kern w:val="0"/>
      <w:sz w:val="16"/>
      <w:szCs w:val="16"/>
      <w:lang w:val="en-GB"/>
    </w:rPr>
  </w:style>
  <w:style w:type="paragraph" w:customStyle="1" w:styleId="199">
    <w:name w:val="RequireBullet"/>
    <w:qFormat/>
    <w:uiPriority w:val="0"/>
    <w:pPr>
      <w:keepLines/>
      <w:widowControl w:val="0"/>
      <w:numPr>
        <w:ilvl w:val="0"/>
        <w:numId w:val="3"/>
      </w:numPr>
      <w:tabs>
        <w:tab w:val="left" w:pos="741"/>
        <w:tab w:val="clear" w:pos="360"/>
      </w:tabs>
      <w:spacing w:before="40" w:after="40"/>
      <w:ind w:left="737" w:hanging="340"/>
      <w:jc w:val="both"/>
    </w:pPr>
    <w:rPr>
      <w:rFonts w:ascii="Arial0" w:hAnsi="Arial0" w:eastAsia="宋体" w:cs="Arial0"/>
      <w:snapToGrid w:val="0"/>
      <w:color w:val="000000"/>
      <w:sz w:val="16"/>
      <w:szCs w:val="24"/>
      <w:lang w:val="en-GB" w:eastAsia="zh-CN" w:bidi="ar-SA"/>
    </w:rPr>
  </w:style>
  <w:style w:type="paragraph" w:customStyle="1" w:styleId="200">
    <w:name w:val="Reference"/>
    <w:qFormat/>
    <w:uiPriority w:val="0"/>
    <w:pPr>
      <w:widowControl w:val="0"/>
      <w:numPr>
        <w:ilvl w:val="0"/>
        <w:numId w:val="4"/>
      </w:numPr>
      <w:spacing w:after="80" w:line="280" w:lineRule="atLeast"/>
    </w:pPr>
    <w:rPr>
      <w:rFonts w:ascii="Times New Roman" w:hAnsi="Times New Roman" w:eastAsia="宋体" w:cs="Times New Roman"/>
      <w:snapToGrid w:val="0"/>
      <w:color w:val="000000"/>
      <w:sz w:val="24"/>
      <w:szCs w:val="24"/>
      <w:lang w:val="en-GB" w:eastAsia="zh-CN" w:bidi="ar-SA"/>
    </w:rPr>
  </w:style>
  <w:style w:type="paragraph" w:customStyle="1" w:styleId="201">
    <w:name w:val="RequireHeading"/>
    <w:next w:val="202"/>
    <w:qFormat/>
    <w:uiPriority w:val="0"/>
    <w:pPr>
      <w:keepNext/>
      <w:spacing w:before="360"/>
    </w:pPr>
    <w:rPr>
      <w:rFonts w:ascii="Times New Roman" w:hAnsi="Times New Roman" w:eastAsia="宋体" w:cs="Times New Roman"/>
      <w:b/>
      <w:color w:val="000000"/>
      <w:sz w:val="28"/>
      <w:lang w:val="en-GB" w:eastAsia="zh-CN" w:bidi="ar-SA"/>
    </w:rPr>
  </w:style>
  <w:style w:type="paragraph" w:customStyle="1" w:styleId="202">
    <w:name w:val="RequireKey"/>
    <w:next w:val="203"/>
    <w:qFormat/>
    <w:uiPriority w:val="0"/>
    <w:pPr>
      <w:keepNext/>
      <w:keepLines/>
      <w:widowControl w:val="0"/>
      <w:tabs>
        <w:tab w:val="left" w:pos="1134"/>
      </w:tabs>
      <w:spacing w:before="40"/>
      <w:contextualSpacing/>
    </w:pPr>
    <w:rPr>
      <w:rFonts w:ascii="Arial0" w:hAnsi="Arial0" w:eastAsia="宋体" w:cs="Arial0"/>
      <w:snapToGrid w:val="0"/>
      <w:color w:val="0000FF"/>
      <w:sz w:val="16"/>
      <w:szCs w:val="18"/>
      <w:lang w:val="en-GB" w:eastAsia="zh-CN" w:bidi="ar-SA"/>
    </w:rPr>
  </w:style>
  <w:style w:type="paragraph" w:customStyle="1" w:styleId="203">
    <w:name w:val="RequireBody"/>
    <w:qFormat/>
    <w:uiPriority w:val="0"/>
    <w:pPr>
      <w:widowControl w:val="0"/>
      <w:spacing w:before="80"/>
      <w:ind w:left="284"/>
      <w:jc w:val="both"/>
    </w:pPr>
    <w:rPr>
      <w:rFonts w:ascii="Arial0" w:hAnsi="Arial0" w:eastAsia="宋体" w:cs="Arial0"/>
      <w:snapToGrid w:val="0"/>
      <w:color w:val="000000"/>
      <w:sz w:val="16"/>
      <w:szCs w:val="24"/>
      <w:lang w:val="en-GB" w:eastAsia="zh-CN" w:bidi="ar-SA"/>
    </w:rPr>
  </w:style>
  <w:style w:type="paragraph" w:customStyle="1" w:styleId="204">
    <w:name w:val="RequireNoteHeading"/>
    <w:basedOn w:val="18"/>
    <w:qFormat/>
    <w:uiPriority w:val="0"/>
    <w:pPr>
      <w:keepNext/>
      <w:jc w:val="center"/>
    </w:pPr>
    <w:rPr>
      <w:rFonts w:ascii="Arial0" w:hAnsi="Arial0"/>
      <w:b/>
      <w:u w:val="single"/>
    </w:rPr>
  </w:style>
  <w:style w:type="character" w:customStyle="1" w:styleId="205">
    <w:name w:val="注释标题 字符"/>
    <w:basedOn w:val="92"/>
    <w:link w:val="18"/>
    <w:qFormat/>
    <w:uiPriority w:val="0"/>
    <w:rPr>
      <w:rFonts w:ascii="Times New Roman" w:hAnsi="Times New Roman" w:eastAsia="宋体" w:cs="Times New Roman"/>
      <w:snapToGrid w:val="0"/>
      <w:color w:val="000000"/>
      <w:kern w:val="0"/>
      <w:sz w:val="24"/>
      <w:szCs w:val="24"/>
      <w:lang w:val="en-GB"/>
    </w:rPr>
  </w:style>
  <w:style w:type="paragraph" w:customStyle="1" w:styleId="206">
    <w:name w:val="TabChangeDate"/>
    <w:qFormat/>
    <w:uiPriority w:val="0"/>
    <w:pPr>
      <w:widowControl w:val="0"/>
      <w:tabs>
        <w:tab w:val="center" w:pos="4759"/>
        <w:tab w:val="right" w:pos="9520"/>
      </w:tabs>
      <w:spacing w:line="280" w:lineRule="exact"/>
    </w:pPr>
    <w:rPr>
      <w:rFonts w:ascii="Times New Roman" w:hAnsi="Times New Roman" w:eastAsia="宋体" w:cs="Times New Roman"/>
      <w:snapToGrid w:val="0"/>
      <w:sz w:val="24"/>
      <w:szCs w:val="24"/>
      <w:lang w:val="en-GB" w:eastAsia="zh-CN" w:bidi="ar-SA"/>
    </w:rPr>
  </w:style>
  <w:style w:type="character" w:customStyle="1" w:styleId="207">
    <w:name w:val="签名 字符"/>
    <w:basedOn w:val="92"/>
    <w:link w:val="60"/>
    <w:qFormat/>
    <w:uiPriority w:val="0"/>
    <w:rPr>
      <w:rFonts w:ascii="Times New Roman" w:hAnsi="Times New Roman" w:eastAsia="宋体" w:cs="Times New Roman"/>
      <w:snapToGrid w:val="0"/>
      <w:color w:val="000000"/>
      <w:kern w:val="0"/>
      <w:sz w:val="24"/>
      <w:szCs w:val="24"/>
      <w:lang w:val="en-GB"/>
    </w:rPr>
  </w:style>
  <w:style w:type="character" w:customStyle="1" w:styleId="208">
    <w:name w:val="电子邮件签名 字符"/>
    <w:basedOn w:val="92"/>
    <w:link w:val="21"/>
    <w:qFormat/>
    <w:uiPriority w:val="0"/>
    <w:rPr>
      <w:rFonts w:ascii="Times New Roman" w:hAnsi="Times New Roman" w:eastAsia="宋体" w:cs="Times New Roman"/>
      <w:snapToGrid w:val="0"/>
      <w:color w:val="000000"/>
      <w:kern w:val="0"/>
      <w:sz w:val="24"/>
      <w:szCs w:val="24"/>
      <w:lang w:val="en-GB"/>
    </w:rPr>
  </w:style>
  <w:style w:type="character" w:customStyle="1" w:styleId="209">
    <w:name w:val="称呼 字符"/>
    <w:basedOn w:val="92"/>
    <w:link w:val="32"/>
    <w:qFormat/>
    <w:uiPriority w:val="0"/>
    <w:rPr>
      <w:rFonts w:ascii="Times New Roman" w:hAnsi="Times New Roman" w:eastAsia="宋体" w:cs="Times New Roman"/>
      <w:snapToGrid w:val="0"/>
      <w:color w:val="000000"/>
      <w:kern w:val="0"/>
      <w:sz w:val="24"/>
      <w:szCs w:val="24"/>
      <w:lang w:val="en-GB"/>
    </w:rPr>
  </w:style>
  <w:style w:type="character" w:customStyle="1" w:styleId="210">
    <w:name w:val="结束语 字符"/>
    <w:basedOn w:val="92"/>
    <w:link w:val="34"/>
    <w:qFormat/>
    <w:uiPriority w:val="0"/>
    <w:rPr>
      <w:rFonts w:ascii="Times New Roman" w:hAnsi="Times New Roman" w:eastAsia="宋体" w:cs="Times New Roman"/>
      <w:snapToGrid w:val="0"/>
      <w:color w:val="000000"/>
      <w:kern w:val="0"/>
      <w:sz w:val="24"/>
      <w:szCs w:val="24"/>
      <w:lang w:val="en-GB"/>
    </w:rPr>
  </w:style>
  <w:style w:type="paragraph" w:customStyle="1" w:styleId="211">
    <w:name w:val="ZStyle2"/>
    <w:basedOn w:val="1"/>
    <w:qFormat/>
    <w:uiPriority w:val="0"/>
    <w:pPr>
      <w:spacing w:before="100"/>
      <w:jc w:val="center"/>
    </w:pPr>
    <w:rPr>
      <w:rFonts w:ascii="Times New Roman" w:hAnsi="Times New Roman" w:eastAsia="宋体" w:cs="Times New Roman"/>
      <w:b/>
      <w:bCs/>
      <w:snapToGrid w:val="0"/>
      <w:color w:val="000000"/>
      <w:kern w:val="0"/>
      <w:sz w:val="48"/>
      <w:szCs w:val="48"/>
      <w:lang w:val="en-GB"/>
    </w:rPr>
  </w:style>
  <w:style w:type="character" w:customStyle="1" w:styleId="212">
    <w:name w:val="HTML 地址 字符"/>
    <w:basedOn w:val="92"/>
    <w:link w:val="43"/>
    <w:qFormat/>
    <w:uiPriority w:val="0"/>
    <w:rPr>
      <w:rFonts w:ascii="Times New Roman" w:hAnsi="Times New Roman" w:eastAsia="宋体" w:cs="Times New Roman"/>
      <w:i/>
      <w:iCs/>
      <w:snapToGrid w:val="0"/>
      <w:color w:val="000000"/>
      <w:kern w:val="0"/>
      <w:sz w:val="24"/>
      <w:szCs w:val="24"/>
      <w:lang w:val="en-GB"/>
    </w:rPr>
  </w:style>
  <w:style w:type="character" w:customStyle="1" w:styleId="213">
    <w:name w:val="尾注文本 字符"/>
    <w:basedOn w:val="92"/>
    <w:link w:val="54"/>
    <w:qFormat/>
    <w:uiPriority w:val="0"/>
    <w:rPr>
      <w:rFonts w:ascii="Times New Roman" w:hAnsi="Times New Roman" w:eastAsia="宋体" w:cs="Times New Roman"/>
      <w:snapToGrid w:val="0"/>
      <w:color w:val="000000"/>
      <w:kern w:val="0"/>
      <w:sz w:val="20"/>
      <w:szCs w:val="20"/>
      <w:lang w:val="en-GB"/>
    </w:rPr>
  </w:style>
  <w:style w:type="paragraph" w:customStyle="1" w:styleId="214">
    <w:name w:val="ListSub_+."/>
    <w:qFormat/>
    <w:uiPriority w:val="0"/>
    <w:pPr>
      <w:widowControl w:val="0"/>
      <w:tabs>
        <w:tab w:val="left" w:pos="360"/>
        <w:tab w:val="left" w:pos="736"/>
      </w:tabs>
      <w:spacing w:before="100" w:line="280" w:lineRule="atLeast"/>
      <w:ind w:left="360" w:hanging="360"/>
      <w:jc w:val="both"/>
    </w:pPr>
    <w:rPr>
      <w:rFonts w:ascii="Times New Roman" w:hAnsi="Times New Roman" w:eastAsia="宋体" w:cs="Times New Roman"/>
      <w:snapToGrid w:val="0"/>
      <w:color w:val="000000"/>
      <w:sz w:val="24"/>
      <w:szCs w:val="24"/>
      <w:lang w:val="en-GB" w:eastAsia="zh-CN" w:bidi="ar-SA"/>
    </w:rPr>
  </w:style>
  <w:style w:type="paragraph" w:customStyle="1" w:styleId="215">
    <w:name w:val="Body"/>
    <w:qFormat/>
    <w:uiPriority w:val="0"/>
    <w:pPr>
      <w:widowControl w:val="0"/>
      <w:spacing w:line="280" w:lineRule="exact"/>
    </w:pPr>
    <w:rPr>
      <w:rFonts w:ascii="Times New Roman" w:hAnsi="Times New Roman" w:eastAsia="宋体" w:cs="Times New Roman"/>
      <w:b/>
      <w:bCs/>
      <w:snapToGrid w:val="0"/>
      <w:color w:val="000000"/>
      <w:sz w:val="24"/>
      <w:szCs w:val="24"/>
      <w:lang w:val="en-GB" w:eastAsia="zh-CN" w:bidi="ar-SA"/>
    </w:rPr>
  </w:style>
  <w:style w:type="paragraph" w:customStyle="1" w:styleId="216">
    <w:name w:val="BulletSubBody"/>
    <w:qFormat/>
    <w:uiPriority w:val="0"/>
    <w:pPr>
      <w:widowControl w:val="0"/>
      <w:tabs>
        <w:tab w:val="left" w:pos="594"/>
      </w:tabs>
      <w:spacing w:before="100" w:line="280" w:lineRule="atLeast"/>
      <w:ind w:left="595"/>
      <w:jc w:val="both"/>
    </w:pPr>
    <w:rPr>
      <w:rFonts w:ascii="Times New Roman" w:hAnsi="Times New Roman" w:eastAsia="宋体" w:cs="Times New Roman"/>
      <w:snapToGrid w:val="0"/>
      <w:color w:val="000000"/>
      <w:sz w:val="24"/>
      <w:szCs w:val="24"/>
      <w:lang w:val="en-GB" w:eastAsia="zh-CN" w:bidi="ar-SA"/>
    </w:rPr>
  </w:style>
  <w:style w:type="character" w:customStyle="1" w:styleId="217">
    <w:name w:val="副标题 字符"/>
    <w:basedOn w:val="92"/>
    <w:link w:val="66"/>
    <w:qFormat/>
    <w:uiPriority w:val="0"/>
    <w:rPr>
      <w:rFonts w:ascii="Arial0" w:hAnsi="Arial0" w:eastAsia="宋体" w:cs="Times New Roman"/>
      <w:snapToGrid w:val="0"/>
      <w:color w:val="000000"/>
      <w:kern w:val="0"/>
      <w:sz w:val="24"/>
      <w:szCs w:val="24"/>
      <w:lang w:val="en-GB"/>
    </w:rPr>
  </w:style>
  <w:style w:type="paragraph" w:customStyle="1" w:styleId="218">
    <w:name w:val="ZStyle4"/>
    <w:basedOn w:val="1"/>
    <w:qFormat/>
    <w:uiPriority w:val="0"/>
    <w:pPr>
      <w:spacing w:before="100"/>
      <w:jc w:val="center"/>
    </w:pPr>
    <w:rPr>
      <w:rFonts w:ascii="Times New Roman" w:hAnsi="Times New Roman" w:eastAsia="宋体" w:cs="Times New Roman"/>
      <w:snapToGrid w:val="0"/>
      <w:color w:val="000000"/>
      <w:kern w:val="0"/>
      <w:sz w:val="36"/>
      <w:szCs w:val="36"/>
      <w:lang w:val="en-GB"/>
    </w:rPr>
  </w:style>
  <w:style w:type="character" w:customStyle="1" w:styleId="219">
    <w:name w:val="脚注文本 字符"/>
    <w:basedOn w:val="92"/>
    <w:link w:val="69"/>
    <w:qFormat/>
    <w:uiPriority w:val="0"/>
    <w:rPr>
      <w:rFonts w:ascii="Times New Roman" w:hAnsi="Times New Roman" w:eastAsia="宋体" w:cs="Times New Roman"/>
      <w:snapToGrid w:val="0"/>
      <w:color w:val="000000"/>
      <w:kern w:val="0"/>
      <w:sz w:val="20"/>
      <w:szCs w:val="20"/>
      <w:lang w:val="en-GB"/>
    </w:rPr>
  </w:style>
  <w:style w:type="character" w:customStyle="1" w:styleId="220">
    <w:name w:val="信息标题 字符"/>
    <w:basedOn w:val="92"/>
    <w:link w:val="79"/>
    <w:qFormat/>
    <w:uiPriority w:val="0"/>
    <w:rPr>
      <w:rFonts w:ascii="Arial0" w:hAnsi="Arial0" w:eastAsia="宋体" w:cs="Times New Roman"/>
      <w:snapToGrid w:val="0"/>
      <w:color w:val="000000"/>
      <w:kern w:val="0"/>
      <w:sz w:val="24"/>
      <w:szCs w:val="24"/>
      <w:shd w:val="pct20" w:color="auto" w:fill="auto"/>
      <w:lang w:val="en-GB"/>
    </w:rPr>
  </w:style>
  <w:style w:type="character" w:customStyle="1" w:styleId="221">
    <w:name w:val="HTML 预设格式 字符"/>
    <w:basedOn w:val="92"/>
    <w:link w:val="80"/>
    <w:qFormat/>
    <w:uiPriority w:val="0"/>
    <w:rPr>
      <w:rFonts w:ascii="Courier New" w:hAnsi="Courier New" w:eastAsia="宋体" w:cs="Times New Roman"/>
      <w:snapToGrid w:val="0"/>
      <w:color w:val="000000"/>
      <w:kern w:val="0"/>
      <w:sz w:val="20"/>
      <w:szCs w:val="20"/>
      <w:lang w:val="en-GB"/>
    </w:rPr>
  </w:style>
  <w:style w:type="paragraph" w:customStyle="1" w:styleId="222">
    <w:name w:val="Courier10"/>
    <w:qFormat/>
    <w:uiPriority w:val="0"/>
    <w:pPr>
      <w:widowControl w:val="0"/>
      <w:spacing w:before="40" w:line="240" w:lineRule="atLeast"/>
    </w:pPr>
    <w:rPr>
      <w:rFonts w:ascii="Times New Roman" w:hAnsi="Times New Roman" w:eastAsia="宋体" w:cs="Times New Roman"/>
      <w:snapToGrid w:val="0"/>
      <w:color w:val="000000"/>
      <w:lang w:val="en-GB" w:eastAsia="zh-CN" w:bidi="ar-SA"/>
    </w:rPr>
  </w:style>
  <w:style w:type="character" w:customStyle="1" w:styleId="223">
    <w:name w:val="标题 字符"/>
    <w:basedOn w:val="92"/>
    <w:link w:val="84"/>
    <w:qFormat/>
    <w:uiPriority w:val="10"/>
    <w:rPr>
      <w:rFonts w:ascii="Arial0" w:hAnsi="Arial0" w:eastAsia="宋体" w:cs="Times New Roman"/>
      <w:b/>
      <w:bCs/>
      <w:snapToGrid w:val="0"/>
      <w:color w:val="000000"/>
      <w:kern w:val="28"/>
      <w:sz w:val="32"/>
      <w:szCs w:val="32"/>
      <w:lang w:val="en-GB"/>
    </w:rPr>
  </w:style>
  <w:style w:type="paragraph" w:customStyle="1" w:styleId="224">
    <w:name w:val="RequireBulletSmall"/>
    <w:basedOn w:val="1"/>
    <w:qFormat/>
    <w:uiPriority w:val="0"/>
    <w:pPr>
      <w:keepLines/>
      <w:tabs>
        <w:tab w:val="left" w:pos="397"/>
      </w:tabs>
      <w:spacing w:before="40" w:after="40"/>
      <w:contextualSpacing/>
      <w:jc w:val="left"/>
    </w:pPr>
    <w:rPr>
      <w:rFonts w:ascii="Arial0" w:hAnsi="Arial0" w:eastAsia="宋体" w:cs="Times New Roman"/>
      <w:snapToGrid w:val="0"/>
      <w:color w:val="000000"/>
      <w:kern w:val="0"/>
      <w:sz w:val="16"/>
      <w:szCs w:val="24"/>
      <w:lang w:val="en-GB"/>
    </w:rPr>
  </w:style>
  <w:style w:type="paragraph" w:customStyle="1" w:styleId="225">
    <w:name w:val="Style1"/>
    <w:basedOn w:val="4"/>
    <w:qFormat/>
    <w:uiPriority w:val="0"/>
    <w:pPr>
      <w:keepLines w:val="0"/>
      <w:pageBreakBefore/>
      <w:widowControl/>
      <w:tabs>
        <w:tab w:val="left" w:pos="1134"/>
        <w:tab w:val="left" w:pos="1701"/>
        <w:tab w:val="left" w:pos="2160"/>
        <w:tab w:val="left" w:pos="2268"/>
        <w:tab w:val="left" w:pos="2835"/>
        <w:tab w:val="left" w:pos="3402"/>
      </w:tabs>
      <w:spacing w:before="0" w:after="120" w:line="240" w:lineRule="auto"/>
      <w:contextualSpacing/>
    </w:pPr>
    <w:rPr>
      <w:rFonts w:ascii="Times New Roman" w:hAnsi="Times New Roman"/>
      <w:snapToGrid w:val="0"/>
      <w:color w:val="000000"/>
      <w:kern w:val="0"/>
      <w:sz w:val="24"/>
      <w:szCs w:val="24"/>
      <w:lang w:val="en-GB"/>
    </w:rPr>
  </w:style>
  <w:style w:type="paragraph" w:customStyle="1" w:styleId="226">
    <w:name w:val="Step"/>
    <w:qFormat/>
    <w:uiPriority w:val="0"/>
    <w:pPr>
      <w:widowControl w:val="0"/>
      <w:tabs>
        <w:tab w:val="left" w:pos="311"/>
      </w:tabs>
      <w:spacing w:before="100" w:after="100" w:line="280" w:lineRule="atLeast"/>
      <w:ind w:left="311" w:hanging="312"/>
      <w:jc w:val="both"/>
    </w:pPr>
    <w:rPr>
      <w:rFonts w:ascii="Times New Roman" w:hAnsi="Times New Roman" w:eastAsia="宋体" w:cs="Times New Roman"/>
      <w:snapToGrid w:val="0"/>
      <w:color w:val="000000"/>
      <w:sz w:val="24"/>
      <w:szCs w:val="24"/>
      <w:lang w:val="en-GB" w:eastAsia="zh-CN" w:bidi="ar-SA"/>
    </w:rPr>
  </w:style>
  <w:style w:type="paragraph" w:customStyle="1" w:styleId="227">
    <w:name w:val="Changed"/>
    <w:basedOn w:val="1"/>
    <w:qFormat/>
    <w:uiPriority w:val="0"/>
    <w:pPr>
      <w:keepLines/>
      <w:widowControl/>
      <w:spacing w:before="40"/>
      <w:jc w:val="left"/>
    </w:pPr>
    <w:rPr>
      <w:rFonts w:ascii="Times New Roman" w:hAnsi="Times New Roman" w:eastAsia="宋体" w:cs="Times New Roman"/>
      <w:b/>
      <w:snapToGrid w:val="0"/>
      <w:color w:val="FF0000"/>
      <w:kern w:val="0"/>
      <w:sz w:val="18"/>
      <w:szCs w:val="20"/>
    </w:rPr>
  </w:style>
  <w:style w:type="paragraph" w:customStyle="1" w:styleId="228">
    <w:name w:val="TestCaseKey"/>
    <w:basedOn w:val="202"/>
    <w:next w:val="203"/>
    <w:qFormat/>
    <w:uiPriority w:val="0"/>
  </w:style>
  <w:style w:type="paragraph" w:customStyle="1" w:styleId="229">
    <w:name w:val="Heading Ap"/>
    <w:basedOn w:val="4"/>
    <w:next w:val="1"/>
    <w:qFormat/>
    <w:uiPriority w:val="0"/>
    <w:pPr>
      <w:keepLines w:val="0"/>
      <w:pageBreakBefore/>
      <w:widowControl/>
      <w:numPr>
        <w:ilvl w:val="0"/>
        <w:numId w:val="5"/>
      </w:numPr>
      <w:tabs>
        <w:tab w:val="left" w:pos="1440"/>
      </w:tabs>
      <w:spacing w:before="0" w:after="300" w:line="240" w:lineRule="auto"/>
      <w:contextualSpacing/>
      <w:jc w:val="left"/>
    </w:pPr>
    <w:rPr>
      <w:rFonts w:ascii="Times New Roman" w:hAnsi="Times New Roman"/>
      <w:snapToGrid w:val="0"/>
      <w:color w:val="000000"/>
      <w:kern w:val="0"/>
      <w:sz w:val="48"/>
      <w:szCs w:val="48"/>
      <w:lang w:val="en-GB"/>
    </w:rPr>
  </w:style>
  <w:style w:type="paragraph" w:customStyle="1" w:styleId="230">
    <w:name w:val="Bullet+"/>
    <w:qFormat/>
    <w:uiPriority w:val="0"/>
    <w:pPr>
      <w:widowControl w:val="0"/>
      <w:tabs>
        <w:tab w:val="left" w:pos="311"/>
        <w:tab w:val="left" w:pos="644"/>
      </w:tabs>
      <w:spacing w:before="100" w:line="280" w:lineRule="atLeast"/>
      <w:ind w:left="360" w:hanging="360"/>
      <w:jc w:val="both"/>
    </w:pPr>
    <w:rPr>
      <w:rFonts w:ascii="Times New Roman" w:hAnsi="Times New Roman" w:eastAsia="宋体" w:cs="Times New Roman"/>
      <w:snapToGrid w:val="0"/>
      <w:color w:val="000000"/>
      <w:sz w:val="24"/>
      <w:szCs w:val="24"/>
      <w:lang w:val="en-GB" w:eastAsia="zh-CN" w:bidi="ar-SA"/>
    </w:rPr>
  </w:style>
  <w:style w:type="paragraph" w:customStyle="1" w:styleId="231">
    <w:name w:val="HeaderOverFlow"/>
    <w:next w:val="1"/>
    <w:qFormat/>
    <w:uiPriority w:val="0"/>
    <w:pPr>
      <w:spacing w:before="500" w:after="80" w:line="280" w:lineRule="atLeast"/>
    </w:pPr>
    <w:rPr>
      <w:rFonts w:ascii="Times New Roman" w:hAnsi="Times New Roman" w:eastAsia="宋体" w:cs="Times New Roman"/>
      <w:b/>
      <w:snapToGrid w:val="0"/>
      <w:color w:val="FF0000"/>
      <w:sz w:val="28"/>
      <w:szCs w:val="24"/>
      <w:lang w:val="en-GB" w:eastAsia="zh-CN" w:bidi="ar-SA"/>
    </w:rPr>
  </w:style>
  <w:style w:type="paragraph" w:customStyle="1" w:styleId="232">
    <w:name w:val="Heading Ap2"/>
    <w:basedOn w:val="5"/>
    <w:qFormat/>
    <w:uiPriority w:val="0"/>
    <w:pPr>
      <w:keepLines w:val="0"/>
      <w:widowControl/>
      <w:numPr>
        <w:ilvl w:val="1"/>
        <w:numId w:val="5"/>
      </w:numPr>
      <w:tabs>
        <w:tab w:val="left" w:pos="720"/>
        <w:tab w:val="left" w:pos="1440"/>
      </w:tabs>
      <w:spacing w:before="300" w:after="80" w:line="240" w:lineRule="auto"/>
      <w:contextualSpacing/>
      <w:jc w:val="left"/>
    </w:pPr>
    <w:rPr>
      <w:rFonts w:ascii="Times New Roman" w:hAnsi="Times New Roman"/>
      <w:snapToGrid w:val="0"/>
      <w:color w:val="000000"/>
      <w:kern w:val="0"/>
      <w:sz w:val="36"/>
      <w:szCs w:val="36"/>
      <w:lang w:val="en-GB"/>
    </w:rPr>
  </w:style>
  <w:style w:type="paragraph" w:customStyle="1" w:styleId="233">
    <w:name w:val="XML"/>
    <w:basedOn w:val="1"/>
    <w:qFormat/>
    <w:uiPriority w:val="0"/>
    <w:pPr>
      <w:widowControl/>
      <w:tabs>
        <w:tab w:val="left" w:pos="360"/>
      </w:tabs>
      <w:jc w:val="left"/>
    </w:pPr>
    <w:rPr>
      <w:rFonts w:ascii="Times New Roman" w:hAnsi="Times New Roman" w:eastAsia="宋体" w:cs="Arial0"/>
      <w:snapToGrid w:val="0"/>
      <w:color w:val="008000"/>
      <w:kern w:val="0"/>
      <w:sz w:val="16"/>
      <w:szCs w:val="24"/>
      <w:lang w:val="en-GB"/>
    </w:rPr>
  </w:style>
  <w:style w:type="paragraph" w:customStyle="1" w:styleId="234">
    <w:name w:val="HeaderL"/>
    <w:qFormat/>
    <w:uiPriority w:val="0"/>
    <w:pPr>
      <w:tabs>
        <w:tab w:val="right" w:pos="9072"/>
      </w:tabs>
    </w:pPr>
    <w:rPr>
      <w:rFonts w:ascii="Times New Roman" w:hAnsi="Times New Roman" w:eastAsia="宋体" w:cs="Times New Roman"/>
      <w:b/>
      <w:bCs/>
      <w:snapToGrid w:val="0"/>
      <w:sz w:val="28"/>
      <w:szCs w:val="28"/>
      <w:lang w:val="en-US" w:eastAsia="zh-CN" w:bidi="ar-SA"/>
    </w:rPr>
  </w:style>
  <w:style w:type="paragraph" w:customStyle="1" w:styleId="235">
    <w:name w:val="ZStyle1"/>
    <w:basedOn w:val="1"/>
    <w:qFormat/>
    <w:uiPriority w:val="0"/>
    <w:pPr>
      <w:spacing w:before="100"/>
    </w:pPr>
    <w:rPr>
      <w:rFonts w:ascii="Times New Roman" w:hAnsi="Times New Roman" w:eastAsia="宋体" w:cs="Times New Roman"/>
      <w:b/>
      <w:bCs/>
      <w:snapToGrid w:val="0"/>
      <w:color w:val="000000"/>
      <w:kern w:val="0"/>
      <w:sz w:val="48"/>
      <w:szCs w:val="48"/>
      <w:lang w:val="en-GB"/>
    </w:rPr>
  </w:style>
  <w:style w:type="paragraph" w:customStyle="1" w:styleId="236">
    <w:name w:val="RequireAttribute"/>
    <w:qFormat/>
    <w:uiPriority w:val="0"/>
    <w:pPr>
      <w:tabs>
        <w:tab w:val="left" w:pos="2835"/>
      </w:tabs>
      <w:spacing w:after="40"/>
      <w:ind w:left="2835" w:hanging="2835"/>
    </w:pPr>
    <w:rPr>
      <w:rFonts w:ascii="Times New Roman" w:hAnsi="Times New Roman" w:eastAsia="宋体" w:cs="Times New Roman"/>
      <w:snapToGrid w:val="0"/>
      <w:color w:val="000000"/>
      <w:sz w:val="16"/>
      <w:szCs w:val="24"/>
      <w:lang w:val="en-GB" w:eastAsia="zh-CN" w:bidi="ar-SA"/>
    </w:rPr>
  </w:style>
  <w:style w:type="paragraph" w:customStyle="1" w:styleId="237">
    <w:name w:val="Bullet"/>
    <w:qFormat/>
    <w:uiPriority w:val="0"/>
    <w:pPr>
      <w:widowControl w:val="0"/>
      <w:numPr>
        <w:ilvl w:val="0"/>
        <w:numId w:val="6"/>
      </w:numPr>
      <w:tabs>
        <w:tab w:val="clear" w:pos="567"/>
      </w:tabs>
      <w:spacing w:before="100" w:line="280" w:lineRule="atLeast"/>
      <w:jc w:val="both"/>
    </w:pPr>
    <w:rPr>
      <w:rFonts w:ascii="Times New Roman" w:hAnsi="Times New Roman" w:eastAsia="宋体" w:cs="Times New Roman"/>
      <w:snapToGrid w:val="0"/>
      <w:color w:val="000000"/>
      <w:sz w:val="24"/>
      <w:szCs w:val="24"/>
      <w:lang w:val="en-GB" w:eastAsia="zh-CN" w:bidi="ar-SA"/>
    </w:rPr>
  </w:style>
  <w:style w:type="paragraph" w:customStyle="1" w:styleId="238">
    <w:name w:val="HeaderLLandscape"/>
    <w:basedOn w:val="234"/>
    <w:qFormat/>
    <w:uiPriority w:val="0"/>
    <w:pPr>
      <w:tabs>
        <w:tab w:val="right" w:pos="13892"/>
        <w:tab w:val="clear" w:pos="9072"/>
      </w:tabs>
    </w:pPr>
  </w:style>
  <w:style w:type="paragraph" w:customStyle="1" w:styleId="239">
    <w:name w:val="NoteBody"/>
    <w:qFormat/>
    <w:uiPriority w:val="0"/>
    <w:pPr>
      <w:widowControl w:val="0"/>
      <w:spacing w:after="100" w:line="280" w:lineRule="atLeast"/>
      <w:jc w:val="both"/>
    </w:pPr>
    <w:rPr>
      <w:rFonts w:ascii="Times New Roman" w:hAnsi="Times New Roman" w:eastAsia="宋体" w:cs="Times New Roman"/>
      <w:snapToGrid w:val="0"/>
      <w:color w:val="000000"/>
      <w:sz w:val="24"/>
      <w:szCs w:val="24"/>
      <w:lang w:val="en-GB" w:eastAsia="zh-CN" w:bidi="ar-SA"/>
    </w:rPr>
  </w:style>
  <w:style w:type="paragraph" w:customStyle="1" w:styleId="240">
    <w:name w:val="Heading"/>
    <w:next w:val="1"/>
    <w:qFormat/>
    <w:uiPriority w:val="0"/>
    <w:pPr>
      <w:pageBreakBefore/>
    </w:pPr>
    <w:rPr>
      <w:rFonts w:ascii="Times New Roman" w:hAnsi="Times New Roman" w:eastAsia="宋体" w:cs="Times New Roman"/>
      <w:b/>
      <w:bCs/>
      <w:snapToGrid w:val="0"/>
      <w:sz w:val="48"/>
      <w:szCs w:val="48"/>
      <w:lang w:val="en-GB" w:eastAsia="zh-CN" w:bidi="ar-SA"/>
    </w:rPr>
  </w:style>
  <w:style w:type="paragraph" w:customStyle="1" w:styleId="241">
    <w:name w:val="CaseHead4"/>
    <w:basedOn w:val="1"/>
    <w:qFormat/>
    <w:uiPriority w:val="0"/>
    <w:pPr>
      <w:numPr>
        <w:ilvl w:val="3"/>
        <w:numId w:val="7"/>
      </w:numPr>
      <w:spacing w:before="100" w:after="100" w:line="320" w:lineRule="exact"/>
      <w:ind w:right="1418"/>
    </w:pPr>
    <w:rPr>
      <w:rFonts w:ascii="Times New Roman" w:hAnsi="Times New Roman" w:eastAsia="宋体" w:cs="Times New Roman"/>
      <w:b/>
      <w:snapToGrid w:val="0"/>
      <w:color w:val="000000"/>
      <w:kern w:val="0"/>
      <w:sz w:val="28"/>
      <w:szCs w:val="24"/>
      <w:lang w:val="en-GB"/>
    </w:rPr>
  </w:style>
  <w:style w:type="paragraph" w:customStyle="1" w:styleId="242">
    <w:name w:val="Header12L"/>
    <w:qFormat/>
    <w:uiPriority w:val="0"/>
    <w:pPr>
      <w:tabs>
        <w:tab w:val="right" w:pos="9072"/>
      </w:tabs>
    </w:pPr>
    <w:rPr>
      <w:rFonts w:ascii="Times New Roman" w:hAnsi="Times New Roman" w:eastAsia="宋体" w:cs="Times New Roman"/>
      <w:b/>
      <w:bCs/>
      <w:snapToGrid w:val="0"/>
      <w:sz w:val="24"/>
      <w:szCs w:val="24"/>
      <w:u w:val="single"/>
      <w:lang w:val="en-US" w:eastAsia="zh-CN" w:bidi="ar-SA"/>
    </w:rPr>
  </w:style>
  <w:style w:type="paragraph" w:customStyle="1" w:styleId="243">
    <w:name w:val="HelpID"/>
    <w:basedOn w:val="1"/>
    <w:qFormat/>
    <w:uiPriority w:val="0"/>
    <w:pPr>
      <w:widowControl/>
      <w:tabs>
        <w:tab w:val="right" w:pos="9063"/>
      </w:tabs>
      <w:autoSpaceDE w:val="0"/>
      <w:autoSpaceDN w:val="0"/>
      <w:adjustRightInd w:val="0"/>
      <w:spacing w:before="440" w:after="60"/>
      <w:ind w:left="856" w:hanging="856"/>
      <w:jc w:val="left"/>
    </w:pPr>
    <w:rPr>
      <w:rFonts w:ascii="Arial0" w:hAnsi="Arial0" w:eastAsia="宋体" w:cs="Arial0"/>
      <w:snapToGrid w:val="0"/>
      <w:color w:val="000000"/>
      <w:kern w:val="0"/>
      <w:sz w:val="18"/>
      <w:szCs w:val="18"/>
      <w:lang w:val="en-GB"/>
    </w:rPr>
  </w:style>
  <w:style w:type="paragraph" w:customStyle="1" w:styleId="244">
    <w:name w:val="RequireNoteBody"/>
    <w:basedOn w:val="239"/>
    <w:qFormat/>
    <w:uiPriority w:val="0"/>
    <w:pPr>
      <w:widowControl/>
      <w:spacing w:line="240" w:lineRule="auto"/>
      <w:ind w:left="397" w:right="397"/>
    </w:pPr>
    <w:rPr>
      <w:rFonts w:ascii="Arial0" w:hAnsi="Arial0"/>
    </w:rPr>
  </w:style>
  <w:style w:type="paragraph" w:customStyle="1" w:styleId="245">
    <w:name w:val="Bullet_ItalicRed"/>
    <w:basedOn w:val="246"/>
    <w:qFormat/>
    <w:uiPriority w:val="0"/>
    <w:pPr/>
    <w:rPr>
      <w:color w:val="FF0000"/>
    </w:rPr>
  </w:style>
  <w:style w:type="paragraph" w:customStyle="1" w:styleId="246">
    <w:name w:val="Bullet_ItalicBlack"/>
    <w:basedOn w:val="237"/>
    <w:qFormat/>
    <w:uiPriority w:val="0"/>
    <w:pPr/>
    <w:rPr>
      <w:rFonts w:ascii="Arial0" w:hAnsi="Arial0"/>
      <w:i/>
      <w:sz w:val="20"/>
    </w:rPr>
  </w:style>
  <w:style w:type="paragraph" w:customStyle="1" w:styleId="247">
    <w:name w:val="TOC 10"/>
    <w:basedOn w:val="50"/>
    <w:qFormat/>
    <w:uiPriority w:val="0"/>
    <w:pPr>
      <w:tabs>
        <w:tab w:val="right" w:pos="6804"/>
        <w:tab w:val="right" w:pos="8505"/>
        <w:tab w:val="clear" w:pos="284"/>
        <w:tab w:val="clear" w:pos="7371"/>
        <w:tab w:val="clear" w:pos="9072"/>
      </w:tabs>
    </w:pPr>
  </w:style>
  <w:style w:type="paragraph" w:customStyle="1" w:styleId="248">
    <w:name w:val="Abbreviation"/>
    <w:qFormat/>
    <w:uiPriority w:val="0"/>
    <w:pPr>
      <w:widowControl w:val="0"/>
      <w:tabs>
        <w:tab w:val="left" w:pos="2012"/>
      </w:tabs>
      <w:spacing w:before="40" w:after="40" w:line="280" w:lineRule="atLeast"/>
      <w:ind w:left="2012" w:hanging="2013"/>
    </w:pPr>
    <w:rPr>
      <w:rFonts w:ascii="Times New Roman" w:hAnsi="Times New Roman" w:eastAsia="宋体" w:cs="Times New Roman"/>
      <w:snapToGrid w:val="0"/>
      <w:color w:val="000000"/>
      <w:sz w:val="24"/>
      <w:szCs w:val="24"/>
      <w:lang w:val="en-GB" w:eastAsia="zh-CN" w:bidi="ar-SA"/>
    </w:rPr>
  </w:style>
  <w:style w:type="paragraph" w:customStyle="1" w:styleId="249">
    <w:name w:val="BulletSub-"/>
    <w:qFormat/>
    <w:uiPriority w:val="0"/>
    <w:pPr>
      <w:widowControl w:val="0"/>
      <w:tabs>
        <w:tab w:val="left" w:pos="311"/>
        <w:tab w:val="left" w:pos="594"/>
        <w:tab w:val="left" w:pos="717"/>
        <w:tab w:val="left" w:pos="1440"/>
      </w:tabs>
      <w:spacing w:before="100" w:line="280" w:lineRule="atLeast"/>
      <w:ind w:left="595" w:hanging="238"/>
      <w:jc w:val="both"/>
    </w:pPr>
    <w:rPr>
      <w:rFonts w:ascii="Times New Roman" w:hAnsi="Times New Roman" w:eastAsia="宋体" w:cs="Times New Roman"/>
      <w:snapToGrid w:val="0"/>
      <w:color w:val="000000"/>
      <w:sz w:val="24"/>
      <w:szCs w:val="24"/>
      <w:lang w:val="en-GB" w:eastAsia="zh-CN" w:bidi="ar-SA"/>
    </w:rPr>
  </w:style>
  <w:style w:type="paragraph" w:customStyle="1" w:styleId="250">
    <w:name w:val="BulletBody"/>
    <w:qFormat/>
    <w:uiPriority w:val="0"/>
    <w:pPr>
      <w:widowControl w:val="0"/>
      <w:spacing w:before="60" w:line="280" w:lineRule="atLeast"/>
      <w:ind w:left="357"/>
      <w:jc w:val="both"/>
    </w:pPr>
    <w:rPr>
      <w:rFonts w:ascii="Times New Roman" w:hAnsi="Times New Roman" w:eastAsia="宋体" w:cs="Times New Roman"/>
      <w:snapToGrid w:val="0"/>
      <w:color w:val="000000"/>
      <w:sz w:val="24"/>
      <w:szCs w:val="24"/>
      <w:lang w:val="en-GB" w:eastAsia="zh-CN" w:bidi="ar-SA"/>
    </w:rPr>
  </w:style>
  <w:style w:type="paragraph" w:customStyle="1" w:styleId="251">
    <w:name w:val="CaseHead2"/>
    <w:qFormat/>
    <w:uiPriority w:val="0"/>
    <w:pPr>
      <w:widowControl w:val="0"/>
      <w:numPr>
        <w:ilvl w:val="1"/>
        <w:numId w:val="7"/>
      </w:numPr>
      <w:tabs>
        <w:tab w:val="left" w:pos="1409"/>
      </w:tabs>
      <w:spacing w:before="120" w:after="120" w:line="320" w:lineRule="exact"/>
      <w:ind w:right="1418"/>
      <w:jc w:val="both"/>
    </w:pPr>
    <w:rPr>
      <w:rFonts w:ascii="Times New Roman" w:hAnsi="Times New Roman" w:eastAsia="宋体" w:cs="Times New Roman"/>
      <w:b/>
      <w:bCs/>
      <w:snapToGrid w:val="0"/>
      <w:color w:val="000000"/>
      <w:sz w:val="28"/>
      <w:szCs w:val="24"/>
      <w:lang w:val="en-GB" w:eastAsia="zh-CN" w:bidi="ar-SA"/>
    </w:rPr>
  </w:style>
  <w:style w:type="paragraph" w:customStyle="1" w:styleId="252">
    <w:name w:val="ZStyle6"/>
    <w:basedOn w:val="1"/>
    <w:qFormat/>
    <w:uiPriority w:val="0"/>
    <w:pPr>
      <w:spacing w:before="100"/>
      <w:jc w:val="center"/>
    </w:pPr>
    <w:rPr>
      <w:rFonts w:ascii="Times New Roman" w:hAnsi="Times New Roman" w:eastAsia="宋体" w:cs="Times New Roman"/>
      <w:snapToGrid w:val="0"/>
      <w:color w:val="000000"/>
      <w:kern w:val="0"/>
      <w:sz w:val="24"/>
      <w:szCs w:val="24"/>
      <w:lang w:val="en-GB"/>
    </w:rPr>
  </w:style>
  <w:style w:type="paragraph" w:customStyle="1" w:styleId="253">
    <w:name w:val="Bullet-"/>
    <w:qFormat/>
    <w:uiPriority w:val="0"/>
    <w:pPr>
      <w:widowControl w:val="0"/>
      <w:tabs>
        <w:tab w:val="left" w:pos="311"/>
        <w:tab w:val="left" w:pos="717"/>
      </w:tabs>
      <w:spacing w:before="100" w:line="280" w:lineRule="atLeast"/>
      <w:ind w:left="360" w:hanging="360"/>
      <w:jc w:val="both"/>
    </w:pPr>
    <w:rPr>
      <w:rFonts w:ascii="Times New Roman" w:hAnsi="Times New Roman" w:eastAsia="宋体" w:cs="Times New Roman"/>
      <w:snapToGrid w:val="0"/>
      <w:color w:val="000000"/>
      <w:sz w:val="24"/>
      <w:szCs w:val="24"/>
      <w:lang w:val="en-GB" w:eastAsia="zh-CN" w:bidi="ar-SA"/>
    </w:rPr>
  </w:style>
  <w:style w:type="paragraph" w:customStyle="1" w:styleId="254">
    <w:name w:val="CellBody"/>
    <w:qFormat/>
    <w:uiPriority w:val="0"/>
    <w:pPr>
      <w:widowControl w:val="0"/>
      <w:spacing w:before="40" w:after="40"/>
    </w:pPr>
    <w:rPr>
      <w:rFonts w:ascii="Arial0" w:hAnsi="Arial0" w:eastAsia="宋体" w:cs="Times New Roman"/>
      <w:snapToGrid w:val="0"/>
      <w:color w:val="000000"/>
      <w:sz w:val="24"/>
      <w:szCs w:val="24"/>
      <w:lang w:val="en-GB" w:eastAsia="zh-CN" w:bidi="ar-SA"/>
    </w:rPr>
  </w:style>
  <w:style w:type="paragraph" w:customStyle="1" w:styleId="255">
    <w:name w:val="Heading Sub"/>
    <w:qFormat/>
    <w:uiPriority w:val="0"/>
    <w:pPr>
      <w:keepNext/>
      <w:widowControl w:val="0"/>
      <w:tabs>
        <w:tab w:val="left" w:pos="619"/>
      </w:tabs>
      <w:spacing w:before="500" w:after="160" w:line="320" w:lineRule="atLeast"/>
      <w:ind w:left="640" w:hanging="641"/>
    </w:pPr>
    <w:rPr>
      <w:rFonts w:ascii="Times New Roman" w:hAnsi="Times New Roman" w:eastAsia="宋体" w:cs="Times New Roman"/>
      <w:b/>
      <w:bCs/>
      <w:snapToGrid w:val="0"/>
      <w:color w:val="000000"/>
      <w:sz w:val="28"/>
      <w:szCs w:val="28"/>
      <w:lang w:val="en-GB" w:eastAsia="zh-CN" w:bidi="ar-SA"/>
    </w:rPr>
  </w:style>
  <w:style w:type="paragraph" w:customStyle="1" w:styleId="256">
    <w:name w:val="Bullet_ItalicBlue"/>
    <w:basedOn w:val="246"/>
    <w:qFormat/>
    <w:uiPriority w:val="0"/>
    <w:pPr/>
    <w:rPr>
      <w:color w:val="0000FF"/>
    </w:rPr>
  </w:style>
  <w:style w:type="paragraph" w:customStyle="1" w:styleId="257">
    <w:name w:val="RequireRearrange"/>
    <w:next w:val="203"/>
    <w:qFormat/>
    <w:uiPriority w:val="0"/>
    <w:pPr>
      <w:keepNext/>
      <w:keepLines/>
      <w:widowControl w:val="0"/>
      <w:tabs>
        <w:tab w:val="left" w:pos="283"/>
        <w:tab w:val="right" w:pos="9072"/>
      </w:tabs>
      <w:spacing w:before="440"/>
      <w:ind w:left="289" w:hanging="289"/>
    </w:pPr>
    <w:rPr>
      <w:rFonts w:ascii="Arial0" w:hAnsi="Arial0" w:eastAsia="宋体" w:cs="Arial0"/>
      <w:snapToGrid w:val="0"/>
      <w:color w:val="000000"/>
      <w:sz w:val="16"/>
      <w:szCs w:val="18"/>
      <w:lang w:val="en-GB" w:eastAsia="zh-CN" w:bidi="ar-SA"/>
    </w:rPr>
  </w:style>
  <w:style w:type="paragraph" w:customStyle="1" w:styleId="258">
    <w:name w:val="RequireBodySmall"/>
    <w:basedOn w:val="1"/>
    <w:qFormat/>
    <w:uiPriority w:val="0"/>
    <w:pPr>
      <w:spacing w:before="80"/>
      <w:ind w:left="284"/>
    </w:pPr>
    <w:rPr>
      <w:rFonts w:ascii="Arial0" w:hAnsi="Arial0" w:eastAsia="宋体" w:cs="Times New Roman"/>
      <w:snapToGrid w:val="0"/>
      <w:color w:val="000000"/>
      <w:kern w:val="0"/>
      <w:sz w:val="16"/>
      <w:szCs w:val="24"/>
      <w:lang w:val="en-GB"/>
    </w:rPr>
  </w:style>
  <w:style w:type="paragraph" w:customStyle="1" w:styleId="259">
    <w:name w:val="BulletSub"/>
    <w:basedOn w:val="237"/>
    <w:qFormat/>
    <w:uiPriority w:val="0"/>
    <w:pPr>
      <w:ind w:left="798" w:hanging="238"/>
    </w:pPr>
  </w:style>
  <w:style w:type="paragraph" w:customStyle="1" w:styleId="260">
    <w:name w:val="CaseHead1"/>
    <w:qFormat/>
    <w:uiPriority w:val="0"/>
    <w:pPr>
      <w:widowControl w:val="0"/>
      <w:numPr>
        <w:ilvl w:val="0"/>
        <w:numId w:val="7"/>
      </w:numPr>
      <w:tabs>
        <w:tab w:val="left" w:pos="1157"/>
        <w:tab w:val="left" w:pos="3835"/>
      </w:tabs>
      <w:spacing w:before="120" w:after="120" w:line="320" w:lineRule="exact"/>
      <w:ind w:right="1418"/>
      <w:jc w:val="both"/>
    </w:pPr>
    <w:rPr>
      <w:rFonts w:ascii="Times New Roman" w:hAnsi="Times New Roman" w:eastAsia="宋体" w:cs="Times New Roman"/>
      <w:b/>
      <w:bCs/>
      <w:snapToGrid w:val="0"/>
      <w:color w:val="000000"/>
      <w:sz w:val="28"/>
      <w:szCs w:val="28"/>
      <w:lang w:val="en-GB" w:eastAsia="zh-CN" w:bidi="ar-SA"/>
    </w:rPr>
  </w:style>
  <w:style w:type="paragraph" w:customStyle="1" w:styleId="261">
    <w:name w:val="Note"/>
    <w:next w:val="239"/>
    <w:qFormat/>
    <w:uiPriority w:val="0"/>
    <w:pPr>
      <w:keepNext/>
      <w:widowControl w:val="0"/>
      <w:spacing w:before="299" w:after="80" w:line="320" w:lineRule="atLeast"/>
      <w:jc w:val="center"/>
    </w:pPr>
    <w:rPr>
      <w:rFonts w:ascii="Times New Roman" w:hAnsi="Times New Roman" w:eastAsia="宋体" w:cs="Times New Roman"/>
      <w:b/>
      <w:bCs/>
      <w:snapToGrid w:val="0"/>
      <w:color w:val="000000"/>
      <w:sz w:val="28"/>
      <w:szCs w:val="28"/>
      <w:lang w:val="en-GB" w:eastAsia="zh-CN" w:bidi="ar-SA"/>
    </w:rPr>
  </w:style>
  <w:style w:type="paragraph" w:customStyle="1" w:styleId="262">
    <w:name w:val="FooterLLandscape"/>
    <w:basedOn w:val="263"/>
    <w:qFormat/>
    <w:uiPriority w:val="0"/>
    <w:pPr>
      <w:tabs>
        <w:tab w:val="center" w:pos="4536"/>
        <w:tab w:val="center" w:pos="6946"/>
        <w:tab w:val="right" w:pos="9072"/>
        <w:tab w:val="right" w:pos="13892"/>
      </w:tabs>
    </w:pPr>
  </w:style>
  <w:style w:type="paragraph" w:customStyle="1" w:styleId="263">
    <w:name w:val="FooterL"/>
    <w:qFormat/>
    <w:uiPriority w:val="0"/>
    <w:pPr>
      <w:pBdr>
        <w:top w:val="single" w:color="auto" w:sz="4" w:space="1"/>
      </w:pBdr>
      <w:tabs>
        <w:tab w:val="center" w:pos="4536"/>
        <w:tab w:val="right" w:pos="9072"/>
      </w:tabs>
    </w:pPr>
    <w:rPr>
      <w:rFonts w:ascii="Times New Roman" w:hAnsi="Times New Roman" w:eastAsia="宋体" w:cs="Times New Roman"/>
      <w:snapToGrid w:val="0"/>
      <w:color w:val="000000"/>
      <w:sz w:val="16"/>
      <w:szCs w:val="16"/>
      <w:lang w:val="en-US" w:eastAsia="zh-CN" w:bidi="ar-SA"/>
    </w:rPr>
  </w:style>
  <w:style w:type="paragraph" w:customStyle="1" w:styleId="264">
    <w:name w:val="ZStyle3"/>
    <w:basedOn w:val="1"/>
    <w:qFormat/>
    <w:uiPriority w:val="0"/>
    <w:pPr>
      <w:spacing w:before="100"/>
      <w:jc w:val="center"/>
    </w:pPr>
    <w:rPr>
      <w:rFonts w:ascii="Times New Roman" w:hAnsi="Times New Roman" w:eastAsia="宋体" w:cs="Times New Roman"/>
      <w:b/>
      <w:bCs/>
      <w:snapToGrid w:val="0"/>
      <w:color w:val="000000"/>
      <w:kern w:val="0"/>
      <w:sz w:val="36"/>
      <w:szCs w:val="36"/>
      <w:lang w:val="en-GB"/>
    </w:rPr>
  </w:style>
  <w:style w:type="paragraph" w:customStyle="1" w:styleId="265">
    <w:name w:val="Header12LLandscape"/>
    <w:basedOn w:val="242"/>
    <w:qFormat/>
    <w:uiPriority w:val="0"/>
    <w:pPr>
      <w:tabs>
        <w:tab w:val="right" w:pos="13892"/>
        <w:tab w:val="clear" w:pos="9072"/>
      </w:tabs>
    </w:pPr>
  </w:style>
  <w:style w:type="paragraph" w:customStyle="1" w:styleId="266">
    <w:name w:val="Inserts"/>
    <w:qFormat/>
    <w:uiPriority w:val="0"/>
    <w:pPr>
      <w:widowControl w:val="0"/>
      <w:spacing w:line="280" w:lineRule="atLeast"/>
      <w:jc w:val="both"/>
    </w:pPr>
    <w:rPr>
      <w:rFonts w:ascii="Times New Roman" w:hAnsi="Times New Roman" w:eastAsia="宋体" w:cs="Times New Roman"/>
      <w:snapToGrid w:val="0"/>
      <w:color w:val="000000"/>
      <w:sz w:val="24"/>
      <w:szCs w:val="24"/>
      <w:lang w:val="en-GB" w:eastAsia="zh-CN" w:bidi="ar-SA"/>
    </w:rPr>
  </w:style>
  <w:style w:type="paragraph" w:customStyle="1" w:styleId="267">
    <w:name w:val="Category"/>
    <w:qFormat/>
    <w:uiPriority w:val="0"/>
    <w:pPr>
      <w:numPr>
        <w:ilvl w:val="0"/>
        <w:numId w:val="8"/>
      </w:numPr>
      <w:tabs>
        <w:tab w:val="left" w:pos="1276"/>
        <w:tab w:val="right" w:pos="8959"/>
        <w:tab w:val="clear" w:pos="1304"/>
      </w:tabs>
    </w:pPr>
    <w:rPr>
      <w:rFonts w:ascii="Times New Roman" w:hAnsi="Times New Roman" w:eastAsia="宋体" w:cs="Times New Roman"/>
      <w:snapToGrid w:val="0"/>
      <w:sz w:val="18"/>
      <w:szCs w:val="18"/>
      <w:lang w:val="en-GB" w:eastAsia="zh-CN" w:bidi="ar-SA"/>
    </w:rPr>
  </w:style>
  <w:style w:type="paragraph" w:customStyle="1" w:styleId="268">
    <w:name w:val="List_1."/>
    <w:qFormat/>
    <w:uiPriority w:val="0"/>
    <w:pPr>
      <w:keepNext/>
      <w:widowControl w:val="0"/>
      <w:tabs>
        <w:tab w:val="left" w:pos="452"/>
        <w:tab w:val="left" w:pos="1440"/>
      </w:tabs>
      <w:spacing w:before="100" w:line="280" w:lineRule="atLeast"/>
      <w:ind w:left="360" w:hanging="360"/>
      <w:jc w:val="both"/>
    </w:pPr>
    <w:rPr>
      <w:rFonts w:ascii="Times New Roman" w:hAnsi="Times New Roman" w:eastAsia="宋体" w:cs="Times New Roman"/>
      <w:snapToGrid w:val="0"/>
      <w:color w:val="000000"/>
      <w:sz w:val="24"/>
      <w:szCs w:val="24"/>
      <w:lang w:val="en-GB" w:eastAsia="zh-CN" w:bidi="ar-SA"/>
    </w:rPr>
  </w:style>
  <w:style w:type="paragraph" w:customStyle="1" w:styleId="269">
    <w:name w:val="Definition"/>
    <w:qFormat/>
    <w:uiPriority w:val="0"/>
    <w:pPr>
      <w:widowControl w:val="0"/>
      <w:tabs>
        <w:tab w:val="left" w:pos="2011"/>
      </w:tabs>
      <w:spacing w:before="100" w:line="280" w:lineRule="atLeast"/>
      <w:ind w:left="2012" w:hanging="2013"/>
      <w:jc w:val="both"/>
    </w:pPr>
    <w:rPr>
      <w:rFonts w:ascii="Times New Roman" w:hAnsi="Times New Roman" w:eastAsia="宋体" w:cs="Times New Roman"/>
      <w:snapToGrid w:val="0"/>
      <w:color w:val="000000"/>
      <w:sz w:val="24"/>
      <w:szCs w:val="24"/>
      <w:lang w:val="en-GB" w:eastAsia="zh-CN" w:bidi="ar-SA"/>
    </w:rPr>
  </w:style>
  <w:style w:type="paragraph" w:customStyle="1" w:styleId="270">
    <w:name w:val="BulletSub+"/>
    <w:qFormat/>
    <w:uiPriority w:val="0"/>
    <w:pPr>
      <w:widowControl w:val="0"/>
      <w:tabs>
        <w:tab w:val="left" w:pos="280"/>
        <w:tab w:val="left" w:pos="594"/>
        <w:tab w:val="left" w:pos="717"/>
      </w:tabs>
      <w:spacing w:before="100" w:line="280" w:lineRule="atLeast"/>
      <w:ind w:left="595" w:hanging="238"/>
      <w:jc w:val="both"/>
    </w:pPr>
    <w:rPr>
      <w:rFonts w:ascii="Times New Roman" w:hAnsi="Times New Roman" w:eastAsia="宋体" w:cs="Times New Roman"/>
      <w:snapToGrid w:val="0"/>
      <w:color w:val="000000"/>
      <w:sz w:val="24"/>
      <w:szCs w:val="24"/>
      <w:lang w:val="en-GB" w:eastAsia="zh-CN" w:bidi="ar-SA"/>
    </w:rPr>
  </w:style>
  <w:style w:type="paragraph" w:customStyle="1" w:styleId="271">
    <w:name w:val="History"/>
    <w:qFormat/>
    <w:uiPriority w:val="0"/>
    <w:pPr>
      <w:widowControl w:val="0"/>
      <w:tabs>
        <w:tab w:val="left" w:pos="1019"/>
        <w:tab w:val="left" w:pos="2862"/>
        <w:tab w:val="left" w:pos="4279"/>
      </w:tabs>
      <w:spacing w:before="80" w:line="280" w:lineRule="atLeast"/>
      <w:jc w:val="both"/>
    </w:pPr>
    <w:rPr>
      <w:rFonts w:ascii="Times New Roman" w:hAnsi="Times New Roman" w:eastAsia="宋体" w:cs="Times New Roman"/>
      <w:snapToGrid w:val="0"/>
      <w:color w:val="000000"/>
      <w:sz w:val="24"/>
      <w:szCs w:val="24"/>
      <w:lang w:val="en-GB" w:eastAsia="zh-CN" w:bidi="ar-SA"/>
    </w:rPr>
  </w:style>
  <w:style w:type="paragraph" w:customStyle="1" w:styleId="272">
    <w:name w:val="CaliberRM Tags"/>
    <w:basedOn w:val="1"/>
    <w:qFormat/>
    <w:uiPriority w:val="0"/>
    <w:pPr>
      <w:widowControl/>
      <w:jc w:val="left"/>
    </w:pPr>
    <w:rPr>
      <w:rFonts w:ascii="Times New Roman" w:hAnsi="Times New Roman" w:eastAsia="宋体" w:cs="Times New Roman"/>
      <w:snapToGrid w:val="0"/>
      <w:color w:val="0000FF"/>
      <w:kern w:val="0"/>
      <w:sz w:val="24"/>
      <w:szCs w:val="24"/>
      <w:lang w:val="en-GB"/>
    </w:rPr>
  </w:style>
  <w:style w:type="paragraph" w:customStyle="1" w:styleId="273">
    <w:name w:val="CellBodySmall"/>
    <w:qFormat/>
    <w:uiPriority w:val="0"/>
    <w:pPr>
      <w:spacing w:before="40" w:after="40"/>
    </w:pPr>
    <w:rPr>
      <w:rFonts w:ascii="Arial0" w:hAnsi="Arial0" w:eastAsia="宋体" w:cs="Times New Roman"/>
      <w:snapToGrid w:val="0"/>
      <w:color w:val="000000"/>
      <w:sz w:val="16"/>
      <w:szCs w:val="24"/>
      <w:lang w:val="en-GB" w:eastAsia="zh-CN" w:bidi="ar-SA"/>
    </w:rPr>
  </w:style>
  <w:style w:type="paragraph" w:customStyle="1" w:styleId="274">
    <w:name w:val="CaseHead3"/>
    <w:basedOn w:val="1"/>
    <w:qFormat/>
    <w:uiPriority w:val="0"/>
    <w:pPr>
      <w:numPr>
        <w:ilvl w:val="2"/>
        <w:numId w:val="7"/>
      </w:numPr>
      <w:spacing w:before="120" w:after="120" w:line="320" w:lineRule="exact"/>
      <w:ind w:right="1418"/>
    </w:pPr>
    <w:rPr>
      <w:rFonts w:ascii="Times New Roman" w:hAnsi="Times New Roman" w:eastAsia="宋体" w:cs="Times New Roman"/>
      <w:b/>
      <w:snapToGrid w:val="0"/>
      <w:color w:val="000000"/>
      <w:kern w:val="0"/>
      <w:sz w:val="28"/>
      <w:szCs w:val="24"/>
      <w:lang w:val="en-GB"/>
    </w:rPr>
  </w:style>
  <w:style w:type="paragraph" w:customStyle="1" w:styleId="275">
    <w:name w:val="RequireKey_Split"/>
    <w:basedOn w:val="202"/>
    <w:next w:val="203"/>
    <w:qFormat/>
    <w:uiPriority w:val="0"/>
  </w:style>
  <w:style w:type="paragraph" w:customStyle="1" w:styleId="276">
    <w:name w:val="TOC 标题3"/>
    <w:basedOn w:val="4"/>
    <w:next w:val="1"/>
    <w:unhideWhenUsed/>
    <w:qFormat/>
    <w:uiPriority w:val="39"/>
    <w:pPr>
      <w:outlineLvl w:val="9"/>
    </w:pPr>
    <w:rPr>
      <w:rFonts w:ascii="Times New Roman" w:hAnsi="Times New Roman"/>
    </w:rPr>
  </w:style>
  <w:style w:type="paragraph" w:customStyle="1" w:styleId="277">
    <w:name w:val="一级条标题"/>
    <w:next w:val="145"/>
    <w:qFormat/>
    <w:uiPriority w:val="0"/>
    <w:pPr>
      <w:numPr>
        <w:ilvl w:val="1"/>
        <w:numId w:val="9"/>
      </w:numPr>
      <w:spacing w:beforeLines="50" w:afterLines="50"/>
      <w:outlineLvl w:val="2"/>
    </w:pPr>
    <w:rPr>
      <w:rFonts w:ascii="黑体" w:hAnsi="Times New Roman" w:eastAsia="黑体" w:cs="Times New Roman"/>
      <w:sz w:val="21"/>
      <w:szCs w:val="21"/>
      <w:lang w:val="en-US" w:eastAsia="zh-CN" w:bidi="ar-SA"/>
    </w:rPr>
  </w:style>
  <w:style w:type="paragraph" w:customStyle="1" w:styleId="27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7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80">
    <w:name w:val="章标题"/>
    <w:next w:val="145"/>
    <w:qFormat/>
    <w:uiPriority w:val="0"/>
    <w:pPr>
      <w:numPr>
        <w:ilvl w:val="3"/>
        <w:numId w:val="9"/>
      </w:numPr>
      <w:spacing w:beforeLines="100" w:afterLines="100"/>
      <w:jc w:val="both"/>
      <w:outlineLvl w:val="1"/>
    </w:pPr>
    <w:rPr>
      <w:rFonts w:ascii="黑体" w:hAnsi="Times New Roman" w:eastAsia="黑体" w:cs="Times New Roman"/>
      <w:sz w:val="21"/>
      <w:lang w:val="en-US" w:eastAsia="zh-CN" w:bidi="ar-SA"/>
    </w:rPr>
  </w:style>
  <w:style w:type="paragraph" w:customStyle="1" w:styleId="281">
    <w:name w:val="二级条标题"/>
    <w:basedOn w:val="277"/>
    <w:next w:val="145"/>
    <w:qFormat/>
    <w:uiPriority w:val="0"/>
    <w:pPr>
      <w:numPr>
        <w:ilvl w:val="2"/>
      </w:numPr>
      <w:spacing w:before="50" w:after="50"/>
      <w:outlineLvl w:val="3"/>
    </w:pPr>
  </w:style>
  <w:style w:type="paragraph" w:customStyle="1" w:styleId="28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83">
    <w:name w:val="列项——（一级）"/>
    <w:qFormat/>
    <w:uiPriority w:val="0"/>
    <w:pPr>
      <w:widowControl w:val="0"/>
      <w:numPr>
        <w:ilvl w:val="0"/>
        <w:numId w:val="10"/>
      </w:numPr>
      <w:jc w:val="both"/>
    </w:pPr>
    <w:rPr>
      <w:rFonts w:ascii="宋体" w:hAnsi="Times New Roman" w:eastAsia="宋体" w:cs="Times New Roman"/>
      <w:sz w:val="21"/>
      <w:lang w:val="en-US" w:eastAsia="zh-CN" w:bidi="ar-SA"/>
    </w:rPr>
  </w:style>
  <w:style w:type="paragraph" w:customStyle="1" w:styleId="284">
    <w:name w:val="列项●（二级）"/>
    <w:qFormat/>
    <w:uiPriority w:val="0"/>
    <w:pPr>
      <w:numPr>
        <w:ilvl w:val="1"/>
        <w:numId w:val="10"/>
      </w:numPr>
      <w:tabs>
        <w:tab w:val="left" w:pos="840"/>
      </w:tabs>
      <w:jc w:val="both"/>
    </w:pPr>
    <w:rPr>
      <w:rFonts w:ascii="宋体" w:hAnsi="Times New Roman" w:eastAsia="宋体" w:cs="Times New Roman"/>
      <w:sz w:val="21"/>
      <w:lang w:val="en-US" w:eastAsia="zh-CN" w:bidi="ar-SA"/>
    </w:rPr>
  </w:style>
  <w:style w:type="paragraph" w:customStyle="1" w:styleId="285">
    <w:name w:val="目次、标准名称标题"/>
    <w:basedOn w:val="1"/>
    <w:next w:val="145"/>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86">
    <w:name w:val="三级条标题"/>
    <w:basedOn w:val="281"/>
    <w:next w:val="145"/>
    <w:qFormat/>
    <w:uiPriority w:val="0"/>
    <w:pPr>
      <w:numPr>
        <w:ilvl w:val="0"/>
        <w:numId w:val="0"/>
      </w:numPr>
      <w:outlineLvl w:val="4"/>
    </w:pPr>
  </w:style>
  <w:style w:type="paragraph" w:customStyle="1" w:styleId="287">
    <w:name w:val="示例"/>
    <w:next w:val="288"/>
    <w:qFormat/>
    <w:uiPriority w:val="0"/>
    <w:pPr>
      <w:widowControl w:val="0"/>
      <w:numPr>
        <w:ilvl w:val="0"/>
        <w:numId w:val="11"/>
      </w:numPr>
      <w:jc w:val="both"/>
    </w:pPr>
    <w:rPr>
      <w:rFonts w:ascii="宋体" w:hAnsi="Times New Roman" w:eastAsia="宋体" w:cs="Times New Roman"/>
      <w:sz w:val="18"/>
      <w:szCs w:val="18"/>
      <w:lang w:val="en-US" w:eastAsia="zh-CN" w:bidi="ar-SA"/>
    </w:rPr>
  </w:style>
  <w:style w:type="paragraph" w:customStyle="1" w:styleId="28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89">
    <w:name w:val="数字编号列项（二级）"/>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290">
    <w:name w:val="四级条标题"/>
    <w:basedOn w:val="286"/>
    <w:next w:val="145"/>
    <w:qFormat/>
    <w:uiPriority w:val="0"/>
    <w:pPr>
      <w:numPr>
        <w:ilvl w:val="4"/>
      </w:numPr>
      <w:outlineLvl w:val="5"/>
    </w:pPr>
  </w:style>
  <w:style w:type="paragraph" w:customStyle="1" w:styleId="291">
    <w:name w:val="五级条标题"/>
    <w:basedOn w:val="290"/>
    <w:next w:val="145"/>
    <w:qFormat/>
    <w:uiPriority w:val="0"/>
    <w:pPr>
      <w:numPr>
        <w:ilvl w:val="5"/>
      </w:numPr>
      <w:outlineLvl w:val="6"/>
    </w:pPr>
  </w:style>
  <w:style w:type="paragraph" w:customStyle="1" w:styleId="292">
    <w:name w:val="注："/>
    <w:next w:val="145"/>
    <w:qFormat/>
    <w:uiPriority w:val="0"/>
    <w:pPr>
      <w:widowControl w:val="0"/>
      <w:numPr>
        <w:ilvl w:val="0"/>
        <w:numId w:val="13"/>
      </w:numPr>
      <w:autoSpaceDE w:val="0"/>
      <w:autoSpaceDN w:val="0"/>
      <w:jc w:val="both"/>
    </w:pPr>
    <w:rPr>
      <w:rFonts w:ascii="宋体" w:hAnsi="Times New Roman" w:eastAsia="宋体" w:cs="Times New Roman"/>
      <w:sz w:val="18"/>
      <w:szCs w:val="18"/>
      <w:lang w:val="en-US" w:eastAsia="zh-CN" w:bidi="ar-SA"/>
    </w:rPr>
  </w:style>
  <w:style w:type="paragraph" w:customStyle="1" w:styleId="293">
    <w:name w:val="注×："/>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294">
    <w:name w:val="字母编号列项（一级）"/>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295">
    <w:name w:val="列项◆（三级）"/>
    <w:basedOn w:val="1"/>
    <w:qFormat/>
    <w:uiPriority w:val="0"/>
    <w:pPr>
      <w:numPr>
        <w:ilvl w:val="2"/>
        <w:numId w:val="10"/>
      </w:numPr>
    </w:pPr>
    <w:rPr>
      <w:rFonts w:ascii="宋体" w:hAnsi="Times New Roman" w:eastAsia="宋体" w:cs="Times New Roman"/>
    </w:rPr>
  </w:style>
  <w:style w:type="paragraph" w:customStyle="1" w:styleId="296">
    <w:name w:val="编号列项（三级）"/>
    <w:qFormat/>
    <w:uiPriority w:val="0"/>
    <w:pPr>
      <w:numPr>
        <w:ilvl w:val="2"/>
        <w:numId w:val="12"/>
      </w:numPr>
    </w:pPr>
    <w:rPr>
      <w:rFonts w:ascii="宋体" w:hAnsi="Times New Roman" w:eastAsia="宋体" w:cs="Times New Roman"/>
      <w:sz w:val="21"/>
      <w:lang w:val="en-US" w:eastAsia="zh-CN" w:bidi="ar-SA"/>
    </w:rPr>
  </w:style>
  <w:style w:type="paragraph" w:customStyle="1" w:styleId="297">
    <w:name w:val="示例×："/>
    <w:basedOn w:val="280"/>
    <w:qFormat/>
    <w:uiPriority w:val="0"/>
    <w:pPr>
      <w:numPr>
        <w:ilvl w:val="0"/>
        <w:numId w:val="15"/>
      </w:numPr>
      <w:spacing w:beforeLines="0" w:afterLines="0"/>
      <w:outlineLvl w:val="9"/>
    </w:pPr>
    <w:rPr>
      <w:rFonts w:ascii="宋体" w:eastAsia="宋体"/>
      <w:sz w:val="18"/>
      <w:szCs w:val="18"/>
    </w:rPr>
  </w:style>
  <w:style w:type="paragraph" w:customStyle="1" w:styleId="298">
    <w:name w:val="二级无"/>
    <w:basedOn w:val="281"/>
    <w:qFormat/>
    <w:uiPriority w:val="0"/>
    <w:pPr>
      <w:spacing w:beforeLines="0" w:afterLines="0"/>
    </w:pPr>
    <w:rPr>
      <w:rFonts w:ascii="宋体" w:eastAsia="宋体"/>
    </w:rPr>
  </w:style>
  <w:style w:type="paragraph" w:customStyle="1" w:styleId="299">
    <w:name w:val="注：（正文）"/>
    <w:basedOn w:val="292"/>
    <w:next w:val="145"/>
    <w:qFormat/>
    <w:uiPriority w:val="0"/>
  </w:style>
  <w:style w:type="paragraph" w:customStyle="1" w:styleId="300">
    <w:name w:val="注×：（正文）"/>
    <w:qFormat/>
    <w:uiPriority w:val="0"/>
    <w:pPr>
      <w:numPr>
        <w:ilvl w:val="0"/>
        <w:numId w:val="16"/>
      </w:numPr>
      <w:jc w:val="both"/>
    </w:pPr>
    <w:rPr>
      <w:rFonts w:ascii="宋体" w:hAnsi="Times New Roman" w:eastAsia="宋体" w:cs="Times New Roman"/>
      <w:sz w:val="18"/>
      <w:szCs w:val="18"/>
      <w:lang w:val="en-US" w:eastAsia="zh-CN" w:bidi="ar-SA"/>
    </w:rPr>
  </w:style>
  <w:style w:type="paragraph" w:customStyle="1" w:styleId="30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30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30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304">
    <w:name w:val="标准书眉_偶数页"/>
    <w:basedOn w:val="279"/>
    <w:next w:val="1"/>
    <w:qFormat/>
    <w:uiPriority w:val="0"/>
    <w:pPr>
      <w:jc w:val="left"/>
    </w:pPr>
  </w:style>
  <w:style w:type="paragraph" w:customStyle="1" w:styleId="305">
    <w:name w:val="标准书眉一"/>
    <w:qFormat/>
    <w:uiPriority w:val="0"/>
    <w:pPr>
      <w:jc w:val="both"/>
    </w:pPr>
    <w:rPr>
      <w:rFonts w:ascii="Times New Roman" w:hAnsi="Times New Roman" w:eastAsia="宋体" w:cs="Times New Roman"/>
      <w:lang w:val="en-US" w:eastAsia="zh-CN" w:bidi="ar-SA"/>
    </w:rPr>
  </w:style>
  <w:style w:type="paragraph" w:customStyle="1" w:styleId="306">
    <w:name w:val="参考文献"/>
    <w:basedOn w:val="1"/>
    <w:next w:val="145"/>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307">
    <w:name w:val="参考文献、索引标题"/>
    <w:basedOn w:val="1"/>
    <w:next w:val="145"/>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character" w:customStyle="1" w:styleId="308">
    <w:name w:val="发布"/>
    <w:qFormat/>
    <w:uiPriority w:val="0"/>
    <w:rPr>
      <w:rFonts w:ascii="黑体" w:eastAsia="黑体"/>
      <w:spacing w:val="85"/>
      <w:w w:val="100"/>
      <w:position w:val="3"/>
      <w:sz w:val="28"/>
      <w:szCs w:val="28"/>
    </w:rPr>
  </w:style>
  <w:style w:type="paragraph" w:customStyle="1" w:styleId="309">
    <w:name w:val="发布部门"/>
    <w:next w:val="14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31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1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1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1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4">
    <w:name w:val="封面标准英文名称"/>
    <w:basedOn w:val="313"/>
    <w:qFormat/>
    <w:uiPriority w:val="0"/>
    <w:pPr>
      <w:framePr w:wrap="around"/>
      <w:spacing w:before="370" w:line="400" w:lineRule="exact"/>
    </w:pPr>
    <w:rPr>
      <w:rFonts w:ascii="Times New Roman"/>
      <w:sz w:val="28"/>
      <w:szCs w:val="28"/>
    </w:rPr>
  </w:style>
  <w:style w:type="paragraph" w:customStyle="1" w:styleId="315">
    <w:name w:val="封面一致性程度标识"/>
    <w:basedOn w:val="314"/>
    <w:qFormat/>
    <w:uiPriority w:val="0"/>
    <w:pPr>
      <w:framePr w:wrap="around"/>
      <w:spacing w:before="440"/>
    </w:pPr>
    <w:rPr>
      <w:rFonts w:ascii="宋体" w:eastAsia="宋体"/>
    </w:rPr>
  </w:style>
  <w:style w:type="paragraph" w:customStyle="1" w:styleId="316">
    <w:name w:val="封面标准文稿类别"/>
    <w:basedOn w:val="315"/>
    <w:qFormat/>
    <w:uiPriority w:val="0"/>
    <w:pPr>
      <w:framePr w:wrap="around"/>
      <w:spacing w:after="160" w:line="240" w:lineRule="auto"/>
    </w:pPr>
    <w:rPr>
      <w:sz w:val="24"/>
    </w:rPr>
  </w:style>
  <w:style w:type="paragraph" w:customStyle="1" w:styleId="317">
    <w:name w:val="封面标准文稿编辑信息"/>
    <w:basedOn w:val="316"/>
    <w:qFormat/>
    <w:uiPriority w:val="0"/>
    <w:pPr>
      <w:framePr w:wrap="around"/>
      <w:spacing w:before="180" w:line="180" w:lineRule="exact"/>
    </w:pPr>
    <w:rPr>
      <w:sz w:val="21"/>
    </w:rPr>
  </w:style>
  <w:style w:type="paragraph" w:customStyle="1" w:styleId="318">
    <w:name w:val="封面正文"/>
    <w:qFormat/>
    <w:uiPriority w:val="0"/>
    <w:pPr>
      <w:jc w:val="both"/>
    </w:pPr>
    <w:rPr>
      <w:rFonts w:ascii="Times New Roman" w:hAnsi="Times New Roman" w:eastAsia="宋体" w:cs="Times New Roman"/>
      <w:lang w:val="en-US" w:eastAsia="zh-CN" w:bidi="ar-SA"/>
    </w:rPr>
  </w:style>
  <w:style w:type="paragraph" w:customStyle="1" w:styleId="319">
    <w:name w:val="附录标识"/>
    <w:basedOn w:val="1"/>
    <w:next w:val="145"/>
    <w:qFormat/>
    <w:uiPriority w:val="0"/>
    <w:pPr>
      <w:keepNext/>
      <w:widowControl/>
      <w:numPr>
        <w:ilvl w:val="4"/>
        <w:numId w:val="17"/>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320">
    <w:name w:val="附录标题"/>
    <w:basedOn w:val="145"/>
    <w:next w:val="145"/>
    <w:qFormat/>
    <w:uiPriority w:val="0"/>
    <w:pPr>
      <w:tabs>
        <w:tab w:val="center" w:pos="4201"/>
        <w:tab w:val="right" w:leader="dot" w:pos="9298"/>
      </w:tabs>
      <w:ind w:firstLine="0" w:firstLineChars="0"/>
      <w:jc w:val="center"/>
    </w:pPr>
    <w:rPr>
      <w:rFonts w:ascii="黑体" w:eastAsia="黑体"/>
    </w:rPr>
  </w:style>
  <w:style w:type="paragraph" w:customStyle="1" w:styleId="321">
    <w:name w:val="附录表标号"/>
    <w:basedOn w:val="1"/>
    <w:next w:val="145"/>
    <w:qFormat/>
    <w:uiPriority w:val="0"/>
    <w:pPr>
      <w:numPr>
        <w:ilvl w:val="0"/>
        <w:numId w:val="18"/>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322">
    <w:name w:val="附录表标题"/>
    <w:basedOn w:val="1"/>
    <w:next w:val="145"/>
    <w:qFormat/>
    <w:uiPriority w:val="0"/>
    <w:pPr>
      <w:numPr>
        <w:ilvl w:val="1"/>
        <w:numId w:val="18"/>
      </w:numPr>
      <w:tabs>
        <w:tab w:val="left" w:pos="180"/>
      </w:tabs>
      <w:spacing w:beforeLines="50" w:afterLines="50"/>
      <w:ind w:left="0" w:firstLine="0"/>
      <w:jc w:val="center"/>
    </w:pPr>
    <w:rPr>
      <w:rFonts w:ascii="黑体" w:hAnsi="Times New Roman" w:eastAsia="黑体" w:cs="Times New Roman"/>
    </w:rPr>
  </w:style>
  <w:style w:type="paragraph" w:customStyle="1" w:styleId="323">
    <w:name w:val="附录二级条标题"/>
    <w:basedOn w:val="1"/>
    <w:next w:val="145"/>
    <w:qFormat/>
    <w:uiPriority w:val="0"/>
    <w:pPr>
      <w:widowControl/>
      <w:numPr>
        <w:ilvl w:val="3"/>
        <w:numId w:val="17"/>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324">
    <w:name w:val="附录二级无"/>
    <w:basedOn w:val="323"/>
    <w:qFormat/>
    <w:uiPriority w:val="0"/>
    <w:pPr>
      <w:tabs>
        <w:tab w:val="clear" w:pos="360"/>
      </w:tabs>
      <w:spacing w:beforeLines="0" w:afterLines="0"/>
    </w:pPr>
    <w:rPr>
      <w:rFonts w:ascii="宋体" w:eastAsia="宋体"/>
      <w:szCs w:val="21"/>
    </w:rPr>
  </w:style>
  <w:style w:type="paragraph" w:customStyle="1" w:styleId="325">
    <w:name w:val="附录公式"/>
    <w:basedOn w:val="145"/>
    <w:next w:val="145"/>
    <w:link w:val="326"/>
    <w:qFormat/>
    <w:uiPriority w:val="0"/>
    <w:pPr>
      <w:tabs>
        <w:tab w:val="center" w:pos="4201"/>
        <w:tab w:val="right" w:leader="dot" w:pos="9298"/>
      </w:tabs>
      <w:ind w:firstLine="420"/>
    </w:pPr>
  </w:style>
  <w:style w:type="character" w:customStyle="1" w:styleId="326">
    <w:name w:val="附录公式 Char"/>
    <w:link w:val="325"/>
    <w:qFormat/>
    <w:uiPriority w:val="0"/>
    <w:rPr>
      <w:rFonts w:ascii="宋体" w:hAnsi="Times New Roman" w:eastAsia="宋体" w:cs="Times New Roman"/>
      <w:kern w:val="0"/>
      <w:szCs w:val="20"/>
    </w:rPr>
  </w:style>
  <w:style w:type="paragraph" w:customStyle="1" w:styleId="327">
    <w:name w:val="附录公式编号制表符"/>
    <w:basedOn w:val="1"/>
    <w:next w:val="145"/>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328">
    <w:name w:val="附录三级条标题"/>
    <w:basedOn w:val="323"/>
    <w:next w:val="145"/>
    <w:qFormat/>
    <w:uiPriority w:val="0"/>
    <w:pPr>
      <w:numPr>
        <w:ilvl w:val="0"/>
        <w:numId w:val="0"/>
      </w:numPr>
      <w:outlineLvl w:val="4"/>
    </w:pPr>
  </w:style>
  <w:style w:type="paragraph" w:customStyle="1" w:styleId="329">
    <w:name w:val="附录三级无"/>
    <w:basedOn w:val="328"/>
    <w:qFormat/>
    <w:uiPriority w:val="0"/>
    <w:pPr>
      <w:tabs>
        <w:tab w:val="clear" w:pos="360"/>
      </w:tabs>
      <w:spacing w:beforeLines="0" w:afterLines="0"/>
    </w:pPr>
    <w:rPr>
      <w:rFonts w:ascii="宋体" w:eastAsia="宋体"/>
      <w:szCs w:val="21"/>
    </w:rPr>
  </w:style>
  <w:style w:type="paragraph" w:customStyle="1" w:styleId="330">
    <w:name w:val="附录数字编号列项（二级）"/>
    <w:qFormat/>
    <w:uiPriority w:val="0"/>
    <w:pPr>
      <w:numPr>
        <w:ilvl w:val="1"/>
        <w:numId w:val="19"/>
      </w:numPr>
    </w:pPr>
    <w:rPr>
      <w:rFonts w:ascii="宋体" w:hAnsi="Times New Roman" w:eastAsia="宋体" w:cs="Times New Roman"/>
      <w:sz w:val="21"/>
      <w:lang w:val="en-US" w:eastAsia="zh-CN" w:bidi="ar-SA"/>
    </w:rPr>
  </w:style>
  <w:style w:type="paragraph" w:customStyle="1" w:styleId="331">
    <w:name w:val="附录四级条标题"/>
    <w:basedOn w:val="328"/>
    <w:next w:val="145"/>
    <w:qFormat/>
    <w:uiPriority w:val="0"/>
    <w:pPr>
      <w:numPr>
        <w:ilvl w:val="5"/>
      </w:numPr>
      <w:outlineLvl w:val="5"/>
    </w:pPr>
  </w:style>
  <w:style w:type="paragraph" w:customStyle="1" w:styleId="332">
    <w:name w:val="附录四级无"/>
    <w:basedOn w:val="331"/>
    <w:qFormat/>
    <w:uiPriority w:val="0"/>
    <w:pPr>
      <w:tabs>
        <w:tab w:val="clear" w:pos="360"/>
      </w:tabs>
      <w:spacing w:beforeLines="0" w:afterLines="0"/>
    </w:pPr>
    <w:rPr>
      <w:rFonts w:ascii="宋体" w:eastAsia="宋体"/>
      <w:szCs w:val="21"/>
    </w:rPr>
  </w:style>
  <w:style w:type="paragraph" w:customStyle="1" w:styleId="333">
    <w:name w:val="附录图标号"/>
    <w:basedOn w:val="1"/>
    <w:qFormat/>
    <w:uiPriority w:val="0"/>
    <w:pPr>
      <w:keepNext/>
      <w:pageBreakBefore/>
      <w:widowControl/>
      <w:numPr>
        <w:ilvl w:val="0"/>
        <w:numId w:val="20"/>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334">
    <w:name w:val="附录图标题"/>
    <w:basedOn w:val="1"/>
    <w:next w:val="145"/>
    <w:qFormat/>
    <w:uiPriority w:val="0"/>
    <w:pPr>
      <w:numPr>
        <w:ilvl w:val="1"/>
        <w:numId w:val="20"/>
      </w:numPr>
      <w:tabs>
        <w:tab w:val="left" w:pos="363"/>
      </w:tabs>
      <w:spacing w:beforeLines="50" w:afterLines="50"/>
      <w:ind w:left="0" w:firstLine="0"/>
      <w:jc w:val="center"/>
    </w:pPr>
    <w:rPr>
      <w:rFonts w:ascii="黑体" w:hAnsi="Times New Roman" w:eastAsia="黑体" w:cs="Times New Roman"/>
    </w:rPr>
  </w:style>
  <w:style w:type="paragraph" w:customStyle="1" w:styleId="335">
    <w:name w:val="附录五级条标题"/>
    <w:basedOn w:val="331"/>
    <w:next w:val="145"/>
    <w:qFormat/>
    <w:uiPriority w:val="0"/>
    <w:pPr>
      <w:numPr>
        <w:ilvl w:val="6"/>
      </w:numPr>
      <w:outlineLvl w:val="6"/>
    </w:pPr>
  </w:style>
  <w:style w:type="paragraph" w:customStyle="1" w:styleId="336">
    <w:name w:val="附录五级无"/>
    <w:basedOn w:val="335"/>
    <w:qFormat/>
    <w:uiPriority w:val="0"/>
    <w:pPr>
      <w:tabs>
        <w:tab w:val="clear" w:pos="360"/>
      </w:tabs>
      <w:spacing w:beforeLines="0" w:afterLines="0"/>
    </w:pPr>
    <w:rPr>
      <w:rFonts w:ascii="宋体" w:eastAsia="宋体"/>
      <w:szCs w:val="21"/>
    </w:rPr>
  </w:style>
  <w:style w:type="paragraph" w:customStyle="1" w:styleId="337">
    <w:name w:val="附录章标题"/>
    <w:next w:val="145"/>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38">
    <w:name w:val="附录一级条标题"/>
    <w:basedOn w:val="337"/>
    <w:next w:val="145"/>
    <w:qFormat/>
    <w:uiPriority w:val="0"/>
    <w:pPr>
      <w:autoSpaceDN w:val="0"/>
      <w:spacing w:beforeLines="50" w:afterLines="50"/>
      <w:outlineLvl w:val="2"/>
    </w:pPr>
  </w:style>
  <w:style w:type="paragraph" w:customStyle="1" w:styleId="339">
    <w:name w:val="附录一级无"/>
    <w:basedOn w:val="338"/>
    <w:qFormat/>
    <w:uiPriority w:val="0"/>
    <w:pPr>
      <w:tabs>
        <w:tab w:val="clear" w:pos="360"/>
      </w:tabs>
      <w:spacing w:beforeLines="0" w:afterLines="0"/>
    </w:pPr>
    <w:rPr>
      <w:rFonts w:ascii="宋体" w:eastAsia="宋体"/>
      <w:szCs w:val="21"/>
    </w:rPr>
  </w:style>
  <w:style w:type="paragraph" w:customStyle="1" w:styleId="340">
    <w:name w:val="附录字母编号列项（一级）"/>
    <w:qFormat/>
    <w:uiPriority w:val="0"/>
    <w:pPr>
      <w:numPr>
        <w:ilvl w:val="0"/>
        <w:numId w:val="19"/>
      </w:numPr>
    </w:pPr>
    <w:rPr>
      <w:rFonts w:ascii="宋体" w:hAnsi="Times New Roman" w:eastAsia="宋体" w:cs="Times New Roman"/>
      <w:sz w:val="21"/>
      <w:lang w:val="en-US" w:eastAsia="zh-CN" w:bidi="ar-SA"/>
    </w:rPr>
  </w:style>
  <w:style w:type="paragraph" w:customStyle="1" w:styleId="341">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34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3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44">
    <w:name w:val="其他标准标志"/>
    <w:basedOn w:val="301"/>
    <w:qFormat/>
    <w:uiPriority w:val="0"/>
    <w:pPr>
      <w:framePr w:w="6101" w:wrap="around" w:vAnchor="page" w:hAnchor="page" w:x="4673" w:y="942"/>
    </w:pPr>
    <w:rPr>
      <w:w w:val="130"/>
    </w:rPr>
  </w:style>
  <w:style w:type="paragraph" w:customStyle="1" w:styleId="34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46">
    <w:name w:val="其他发布部门"/>
    <w:basedOn w:val="309"/>
    <w:qFormat/>
    <w:uiPriority w:val="0"/>
    <w:pPr>
      <w:framePr w:wrap="around" w:y="15310"/>
      <w:spacing w:line="0" w:lineRule="atLeast"/>
    </w:pPr>
    <w:rPr>
      <w:rFonts w:ascii="黑体" w:eastAsia="黑体"/>
      <w:b w:val="0"/>
    </w:rPr>
  </w:style>
  <w:style w:type="paragraph" w:customStyle="1" w:styleId="347">
    <w:name w:val="前言、引言标题"/>
    <w:next w:val="14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8">
    <w:name w:val="三级无"/>
    <w:basedOn w:val="286"/>
    <w:qFormat/>
    <w:uiPriority w:val="0"/>
    <w:pPr>
      <w:spacing w:beforeLines="0" w:afterLines="0"/>
    </w:pPr>
    <w:rPr>
      <w:rFonts w:ascii="宋体" w:eastAsia="宋体"/>
    </w:rPr>
  </w:style>
  <w:style w:type="paragraph" w:customStyle="1" w:styleId="349">
    <w:name w:val="实施日期"/>
    <w:basedOn w:val="310"/>
    <w:qFormat/>
    <w:uiPriority w:val="0"/>
    <w:pPr>
      <w:framePr w:wrap="around" w:vAnchor="page" w:hAnchor="text"/>
      <w:jc w:val="right"/>
    </w:pPr>
  </w:style>
  <w:style w:type="paragraph" w:customStyle="1" w:styleId="350">
    <w:name w:val="示例后文字"/>
    <w:basedOn w:val="145"/>
    <w:next w:val="145"/>
    <w:qFormat/>
    <w:uiPriority w:val="0"/>
    <w:pPr>
      <w:tabs>
        <w:tab w:val="center" w:pos="4201"/>
        <w:tab w:val="right" w:leader="dot" w:pos="9298"/>
      </w:tabs>
      <w:ind w:firstLine="360"/>
    </w:pPr>
    <w:rPr>
      <w:sz w:val="18"/>
    </w:rPr>
  </w:style>
  <w:style w:type="paragraph" w:customStyle="1" w:styleId="351">
    <w:name w:val="首示例"/>
    <w:next w:val="145"/>
    <w:link w:val="352"/>
    <w:qFormat/>
    <w:uiPriority w:val="0"/>
    <w:pPr>
      <w:numPr>
        <w:ilvl w:val="0"/>
        <w:numId w:val="21"/>
      </w:numPr>
      <w:tabs>
        <w:tab w:val="left" w:pos="360"/>
      </w:tabs>
      <w:ind w:firstLine="0"/>
    </w:pPr>
    <w:rPr>
      <w:rFonts w:ascii="宋体" w:hAnsi="宋体" w:eastAsia="宋体" w:cs="Times New Roman"/>
      <w:kern w:val="2"/>
      <w:sz w:val="18"/>
      <w:szCs w:val="18"/>
      <w:lang w:val="en-US" w:eastAsia="zh-CN" w:bidi="ar-SA"/>
    </w:rPr>
  </w:style>
  <w:style w:type="character" w:customStyle="1" w:styleId="352">
    <w:name w:val="首示例 Char"/>
    <w:link w:val="351"/>
    <w:qFormat/>
    <w:uiPriority w:val="0"/>
    <w:rPr>
      <w:rFonts w:ascii="宋体" w:hAnsi="宋体" w:eastAsia="宋体" w:cs="Times New Roman"/>
      <w:sz w:val="18"/>
      <w:szCs w:val="18"/>
    </w:rPr>
  </w:style>
  <w:style w:type="paragraph" w:customStyle="1" w:styleId="353">
    <w:name w:val="四级无"/>
    <w:basedOn w:val="290"/>
    <w:qFormat/>
    <w:uiPriority w:val="0"/>
    <w:pPr>
      <w:spacing w:beforeLines="0" w:afterLines="0"/>
    </w:pPr>
    <w:rPr>
      <w:rFonts w:ascii="宋体" w:eastAsia="宋体"/>
    </w:rPr>
  </w:style>
  <w:style w:type="paragraph" w:customStyle="1" w:styleId="354">
    <w:name w:val="条文脚注"/>
    <w:basedOn w:val="69"/>
    <w:qFormat/>
    <w:uiPriority w:val="0"/>
    <w:pPr>
      <w:snapToGrid w:val="0"/>
      <w:spacing w:before="0"/>
    </w:pPr>
    <w:rPr>
      <w:rFonts w:ascii="宋体"/>
      <w:snapToGrid/>
      <w:color w:val="auto"/>
      <w:kern w:val="2"/>
      <w:sz w:val="18"/>
      <w:szCs w:val="18"/>
      <w:lang w:val="en-US"/>
    </w:rPr>
  </w:style>
  <w:style w:type="paragraph" w:customStyle="1" w:styleId="355">
    <w:name w:val="图标脚注说明"/>
    <w:basedOn w:val="145"/>
    <w:qFormat/>
    <w:uiPriority w:val="0"/>
    <w:pPr>
      <w:tabs>
        <w:tab w:val="center" w:pos="4201"/>
        <w:tab w:val="right" w:leader="dot" w:pos="9298"/>
      </w:tabs>
      <w:ind w:left="840" w:hanging="420" w:firstLineChars="0"/>
    </w:pPr>
    <w:rPr>
      <w:sz w:val="18"/>
      <w:szCs w:val="18"/>
    </w:rPr>
  </w:style>
  <w:style w:type="paragraph" w:customStyle="1" w:styleId="356">
    <w:name w:val="图表脚注说明"/>
    <w:basedOn w:val="1"/>
    <w:qFormat/>
    <w:uiPriority w:val="0"/>
    <w:pPr>
      <w:numPr>
        <w:ilvl w:val="0"/>
        <w:numId w:val="22"/>
      </w:numPr>
    </w:pPr>
    <w:rPr>
      <w:rFonts w:ascii="宋体" w:hAnsi="Times New Roman" w:eastAsia="宋体" w:cs="Times New Roman"/>
      <w:sz w:val="18"/>
      <w:szCs w:val="18"/>
    </w:rPr>
  </w:style>
  <w:style w:type="paragraph" w:customStyle="1" w:styleId="357">
    <w:name w:val="图的脚注"/>
    <w:next w:val="14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35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59">
    <w:name w:val="五级无"/>
    <w:basedOn w:val="291"/>
    <w:qFormat/>
    <w:uiPriority w:val="0"/>
    <w:pPr>
      <w:spacing w:beforeLines="0" w:afterLines="0"/>
    </w:pPr>
    <w:rPr>
      <w:rFonts w:ascii="宋体" w:eastAsia="宋体"/>
    </w:rPr>
  </w:style>
  <w:style w:type="paragraph" w:customStyle="1" w:styleId="360">
    <w:name w:val="一级无"/>
    <w:basedOn w:val="277"/>
    <w:qFormat/>
    <w:uiPriority w:val="0"/>
    <w:pPr>
      <w:spacing w:beforeLines="0" w:afterLines="0"/>
    </w:pPr>
    <w:rPr>
      <w:rFonts w:ascii="宋体" w:eastAsia="宋体"/>
    </w:rPr>
  </w:style>
  <w:style w:type="paragraph" w:customStyle="1" w:styleId="361">
    <w:name w:val="正文表标题"/>
    <w:next w:val="145"/>
    <w:qFormat/>
    <w:uiPriority w:val="0"/>
    <w:pPr>
      <w:numPr>
        <w:ilvl w:val="0"/>
        <w:numId w:val="2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2">
    <w:name w:val="正文公式编号制表符"/>
    <w:basedOn w:val="145"/>
    <w:next w:val="145"/>
    <w:qFormat/>
    <w:uiPriority w:val="0"/>
    <w:pPr>
      <w:tabs>
        <w:tab w:val="center" w:pos="4201"/>
        <w:tab w:val="right" w:leader="dot" w:pos="9298"/>
      </w:tabs>
      <w:ind w:firstLine="0" w:firstLineChars="0"/>
    </w:pPr>
  </w:style>
  <w:style w:type="paragraph" w:customStyle="1" w:styleId="363">
    <w:name w:val="正文图标题"/>
    <w:next w:val="145"/>
    <w:qFormat/>
    <w:uiPriority w:val="0"/>
    <w:pPr>
      <w:numPr>
        <w:ilvl w:val="0"/>
        <w:numId w:val="2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4">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365">
    <w:name w:val="其他发布日期"/>
    <w:basedOn w:val="310"/>
    <w:qFormat/>
    <w:uiPriority w:val="0"/>
    <w:pPr>
      <w:framePr w:wrap="around" w:vAnchor="page" w:hAnchor="text" w:x="1419"/>
    </w:pPr>
  </w:style>
  <w:style w:type="paragraph" w:customStyle="1" w:styleId="366">
    <w:name w:val="其他实施日期"/>
    <w:basedOn w:val="349"/>
    <w:qFormat/>
    <w:uiPriority w:val="0"/>
    <w:pPr>
      <w:framePr w:wrap="around"/>
    </w:pPr>
  </w:style>
  <w:style w:type="paragraph" w:customStyle="1" w:styleId="367">
    <w:name w:val="封面标准名称2"/>
    <w:basedOn w:val="313"/>
    <w:qFormat/>
    <w:uiPriority w:val="0"/>
    <w:pPr>
      <w:framePr w:wrap="around" w:y="4469"/>
      <w:spacing w:beforeLines="630"/>
    </w:pPr>
  </w:style>
  <w:style w:type="paragraph" w:customStyle="1" w:styleId="368">
    <w:name w:val="封面标准英文名称2"/>
    <w:basedOn w:val="314"/>
    <w:qFormat/>
    <w:uiPriority w:val="0"/>
    <w:pPr>
      <w:framePr w:wrap="around" w:y="4469"/>
    </w:pPr>
  </w:style>
  <w:style w:type="paragraph" w:customStyle="1" w:styleId="369">
    <w:name w:val="封面一致性程度标识2"/>
    <w:basedOn w:val="315"/>
    <w:qFormat/>
    <w:uiPriority w:val="0"/>
    <w:pPr>
      <w:framePr w:wrap="around" w:y="4469"/>
    </w:pPr>
  </w:style>
  <w:style w:type="paragraph" w:customStyle="1" w:styleId="370">
    <w:name w:val="封面标准文稿类别2"/>
    <w:basedOn w:val="316"/>
    <w:qFormat/>
    <w:uiPriority w:val="0"/>
    <w:pPr>
      <w:framePr w:wrap="around" w:y="4469"/>
    </w:pPr>
  </w:style>
  <w:style w:type="paragraph" w:customStyle="1" w:styleId="371">
    <w:name w:val="封面标准文稿编辑信息2"/>
    <w:basedOn w:val="317"/>
    <w:qFormat/>
    <w:uiPriority w:val="0"/>
    <w:pPr>
      <w:framePr w:wrap="around" w:y="4469"/>
    </w:pPr>
  </w:style>
  <w:style w:type="paragraph" w:customStyle="1" w:styleId="372">
    <w:name w:val="修订1"/>
    <w:hidden/>
    <w:semiHidden/>
    <w:qFormat/>
    <w:uiPriority w:val="99"/>
    <w:rPr>
      <w:rFonts w:ascii="Calibri" w:hAnsi="Calibri" w:eastAsia="宋体" w:cs="Times New Roman"/>
      <w:sz w:val="22"/>
      <w:szCs w:val="21"/>
      <w:lang w:val="en-US" w:eastAsia="zh-CN" w:bidi="ar-SA"/>
    </w:rPr>
  </w:style>
  <w:style w:type="paragraph" w:customStyle="1" w:styleId="373">
    <w:name w:val="p0"/>
    <w:basedOn w:val="1"/>
    <w:qFormat/>
    <w:uiPriority w:val="0"/>
    <w:pPr>
      <w:widowControl/>
      <w:spacing w:before="100" w:after="60"/>
      <w:ind w:left="170"/>
    </w:pPr>
    <w:rPr>
      <w:rFonts w:ascii="Verdana" w:hAnsi="Verdana" w:eastAsia="宋体" w:cs="宋体"/>
      <w:color w:val="000000"/>
      <w:kern w:val="0"/>
      <w:sz w:val="22"/>
      <w:szCs w:val="24"/>
    </w:rPr>
  </w:style>
  <w:style w:type="character" w:customStyle="1" w:styleId="374">
    <w:name w:val="apple-style-span"/>
    <w:qFormat/>
    <w:uiPriority w:val="0"/>
    <w:rPr>
      <w:rFonts w:cs="Times New Roman"/>
    </w:rPr>
  </w:style>
  <w:style w:type="character" w:customStyle="1" w:styleId="375">
    <w:name w:val="def"/>
    <w:qFormat/>
    <w:uiPriority w:val="0"/>
    <w:rPr>
      <w:rFonts w:cs="Times New Roman"/>
    </w:rPr>
  </w:style>
  <w:style w:type="paragraph" w:customStyle="1" w:styleId="376">
    <w:name w:val="Betreffzeile"/>
    <w:basedOn w:val="1"/>
    <w:qFormat/>
    <w:uiPriority w:val="0"/>
    <w:pPr>
      <w:widowControl/>
      <w:spacing w:before="240" w:after="60"/>
      <w:ind w:left="170"/>
      <w:jc w:val="left"/>
    </w:pPr>
    <w:rPr>
      <w:rFonts w:ascii="Arial" w:hAnsi="Arial" w:eastAsia="宋体" w:cs="Times New Roman"/>
      <w:kern w:val="0"/>
      <w:sz w:val="22"/>
      <w:szCs w:val="24"/>
      <w:lang w:eastAsia="de-DE"/>
    </w:rPr>
  </w:style>
  <w:style w:type="paragraph" w:customStyle="1" w:styleId="377">
    <w:name w:val="Bezugszeichenzeile"/>
    <w:basedOn w:val="1"/>
    <w:qFormat/>
    <w:uiPriority w:val="0"/>
    <w:pPr>
      <w:widowControl/>
      <w:spacing w:before="240" w:after="60"/>
      <w:ind w:left="170"/>
      <w:jc w:val="left"/>
    </w:pPr>
    <w:rPr>
      <w:rFonts w:ascii="Arial" w:hAnsi="Arial" w:eastAsia="宋体" w:cs="Times New Roman"/>
      <w:kern w:val="0"/>
      <w:sz w:val="22"/>
      <w:szCs w:val="24"/>
      <w:lang w:eastAsia="de-DE"/>
    </w:rPr>
  </w:style>
  <w:style w:type="paragraph" w:customStyle="1" w:styleId="378">
    <w:name w:val="Bezugszeichentext"/>
    <w:basedOn w:val="1"/>
    <w:qFormat/>
    <w:uiPriority w:val="0"/>
    <w:pPr>
      <w:widowControl/>
      <w:spacing w:before="240" w:after="60"/>
      <w:ind w:left="170"/>
      <w:jc w:val="left"/>
    </w:pPr>
    <w:rPr>
      <w:rFonts w:ascii="Arial" w:hAnsi="Arial" w:eastAsia="宋体" w:cs="Times New Roman"/>
      <w:kern w:val="0"/>
      <w:sz w:val="22"/>
      <w:szCs w:val="24"/>
      <w:lang w:eastAsia="de-DE"/>
    </w:rPr>
  </w:style>
  <w:style w:type="paragraph" w:customStyle="1" w:styleId="379">
    <w:name w:val="Überarbeitung1"/>
    <w:hidden/>
    <w:semiHidden/>
    <w:qFormat/>
    <w:uiPriority w:val="0"/>
    <w:pPr>
      <w:spacing w:before="240" w:after="60"/>
      <w:ind w:left="170"/>
    </w:pPr>
    <w:rPr>
      <w:rFonts w:ascii="Times New Roman" w:hAnsi="Times New Roman" w:eastAsia="宋体" w:cs="Times New Roman"/>
      <w:sz w:val="24"/>
      <w:szCs w:val="24"/>
      <w:lang w:val="de-DE" w:eastAsia="de-DE" w:bidi="ar-SA"/>
    </w:rPr>
  </w:style>
  <w:style w:type="paragraph" w:customStyle="1" w:styleId="380">
    <w:name w:val="PARAGRAPH"/>
    <w:qFormat/>
    <w:uiPriority w:val="0"/>
    <w:pPr>
      <w:spacing w:before="100" w:after="200"/>
      <w:ind w:left="170"/>
      <w:jc w:val="both"/>
    </w:pPr>
    <w:rPr>
      <w:rFonts w:ascii="Arial" w:hAnsi="Arial" w:eastAsia="宋体" w:cs="Arial"/>
      <w:spacing w:val="8"/>
      <w:lang w:val="en-GB" w:eastAsia="zh-CN" w:bidi="ar-SA"/>
    </w:rPr>
  </w:style>
  <w:style w:type="character" w:customStyle="1" w:styleId="381">
    <w:name w:val="TERM-definition Char"/>
    <w:qFormat/>
    <w:uiPriority w:val="99"/>
    <w:rPr>
      <w:rFonts w:ascii="Arial" w:hAnsi="Arial"/>
      <w:spacing w:val="8"/>
      <w:lang w:val="en-GB" w:eastAsia="zh-CN"/>
    </w:rPr>
  </w:style>
  <w:style w:type="paragraph" w:customStyle="1" w:styleId="382">
    <w:name w:val="Listenabsatz1"/>
    <w:basedOn w:val="1"/>
    <w:qFormat/>
    <w:uiPriority w:val="0"/>
    <w:pPr>
      <w:widowControl/>
      <w:spacing w:before="240" w:after="60"/>
      <w:ind w:left="720"/>
      <w:jc w:val="left"/>
    </w:pPr>
    <w:rPr>
      <w:rFonts w:ascii="Arial" w:hAnsi="Arial" w:eastAsia="宋体" w:cs="Times New Roman"/>
      <w:kern w:val="0"/>
      <w:sz w:val="22"/>
      <w:szCs w:val="24"/>
      <w:lang w:eastAsia="de-DE"/>
    </w:rPr>
  </w:style>
  <w:style w:type="table" w:customStyle="1" w:styleId="383">
    <w:name w:val="网格型1"/>
    <w:basedOn w:val="88"/>
    <w:qFormat/>
    <w:uiPriority w:val="0"/>
    <w:pPr>
      <w:spacing w:before="240" w:after="60"/>
      <w:ind w:left="170"/>
    </w:pPr>
    <w:rPr>
      <w:rFonts w:ascii="Times New Roman" w:hAnsi="Times New Roman" w:eastAsia="宋体" w:cs="Times New Roman"/>
      <w:lang w:val="de-DE" w:eastAsia="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4">
    <w:name w:val="Formatvorlage Überschrift 3 + Automatisch"/>
    <w:basedOn w:val="6"/>
    <w:link w:val="405"/>
    <w:qFormat/>
    <w:uiPriority w:val="0"/>
    <w:pPr>
      <w:widowControl w:val="0"/>
      <w:tabs>
        <w:tab w:val="left" w:pos="1492"/>
        <w:tab w:val="clear" w:pos="680"/>
        <w:tab w:val="clear" w:pos="1134"/>
        <w:tab w:val="clear" w:pos="1701"/>
        <w:tab w:val="clear" w:pos="2268"/>
        <w:tab w:val="clear" w:pos="2835"/>
        <w:tab w:val="clear" w:pos="3402"/>
      </w:tabs>
      <w:spacing w:before="240" w:after="60"/>
      <w:ind w:left="879" w:hanging="709"/>
      <w:contextualSpacing w:val="0"/>
    </w:pPr>
    <w:rPr>
      <w:rFonts w:ascii="宋体" w:hAnsi="宋体"/>
      <w:b w:val="0"/>
      <w:bCs w:val="0"/>
      <w:snapToGrid/>
      <w:color w:val="auto"/>
      <w:sz w:val="22"/>
      <w:szCs w:val="22"/>
    </w:rPr>
  </w:style>
  <w:style w:type="paragraph" w:customStyle="1" w:styleId="385">
    <w:name w:val="TOC Heading1"/>
    <w:basedOn w:val="4"/>
    <w:next w:val="1"/>
    <w:semiHidden/>
    <w:qFormat/>
    <w:uiPriority w:val="0"/>
    <w:pPr>
      <w:widowControl/>
      <w:spacing w:before="480" w:after="0" w:line="276" w:lineRule="auto"/>
      <w:jc w:val="left"/>
      <w:outlineLvl w:val="9"/>
    </w:pPr>
    <w:rPr>
      <w:rFonts w:ascii="Cambria" w:hAnsi="Cambria"/>
      <w:b w:val="0"/>
      <w:color w:val="365F91"/>
      <w:kern w:val="0"/>
      <w:sz w:val="28"/>
      <w:szCs w:val="28"/>
      <w:lang w:eastAsia="en-US"/>
    </w:rPr>
  </w:style>
  <w:style w:type="character" w:customStyle="1" w:styleId="386">
    <w:name w:val="sh141"/>
    <w:qFormat/>
    <w:uiPriority w:val="0"/>
    <w:rPr>
      <w:rFonts w:cs="Times New Roman"/>
      <w:color w:val="2B2B2B"/>
      <w:sz w:val="21"/>
      <w:szCs w:val="21"/>
    </w:rPr>
  </w:style>
  <w:style w:type="paragraph" w:customStyle="1" w:styleId="387">
    <w:name w:val="Revision1"/>
    <w:hidden/>
    <w:semiHidden/>
    <w:qFormat/>
    <w:uiPriority w:val="0"/>
    <w:pPr>
      <w:spacing w:before="240" w:after="60"/>
      <w:ind w:left="170"/>
    </w:pPr>
    <w:rPr>
      <w:rFonts w:ascii="Times New Roman" w:hAnsi="Times New Roman" w:eastAsia="宋体" w:cs="Times New Roman"/>
      <w:sz w:val="24"/>
      <w:szCs w:val="24"/>
      <w:lang w:val="en-US" w:eastAsia="de-DE" w:bidi="ar-SA"/>
    </w:rPr>
  </w:style>
  <w:style w:type="paragraph" w:customStyle="1" w:styleId="388">
    <w:name w:val="Bibliography1"/>
    <w:basedOn w:val="1"/>
    <w:next w:val="1"/>
    <w:semiHidden/>
    <w:qFormat/>
    <w:uiPriority w:val="0"/>
    <w:pPr>
      <w:widowControl/>
      <w:spacing w:before="240" w:after="60"/>
      <w:ind w:left="170"/>
      <w:jc w:val="left"/>
    </w:pPr>
    <w:rPr>
      <w:rFonts w:ascii="Arial" w:hAnsi="Arial" w:eastAsia="宋体" w:cs="Times New Roman"/>
      <w:kern w:val="0"/>
      <w:sz w:val="22"/>
      <w:szCs w:val="24"/>
      <w:lang w:eastAsia="de-DE"/>
    </w:rPr>
  </w:style>
  <w:style w:type="paragraph" w:customStyle="1" w:styleId="389">
    <w:name w:val="Intense Quote1"/>
    <w:basedOn w:val="1"/>
    <w:next w:val="1"/>
    <w:link w:val="390"/>
    <w:qFormat/>
    <w:uiPriority w:val="0"/>
    <w:pPr>
      <w:widowControl/>
      <w:pBdr>
        <w:bottom w:val="single" w:color="4F81BD" w:sz="4" w:space="4"/>
      </w:pBdr>
      <w:spacing w:before="200" w:after="280"/>
      <w:ind w:left="936" w:right="936"/>
      <w:jc w:val="left"/>
    </w:pPr>
    <w:rPr>
      <w:rFonts w:ascii="Times New Roman" w:hAnsi="Times New Roman" w:eastAsia="宋体" w:cs="Times New Roman"/>
      <w:b/>
      <w:bCs/>
      <w:i/>
      <w:iCs/>
      <w:color w:val="4F81BD"/>
      <w:kern w:val="0"/>
      <w:sz w:val="24"/>
      <w:szCs w:val="24"/>
      <w:lang w:eastAsia="de-DE"/>
    </w:rPr>
  </w:style>
  <w:style w:type="character" w:customStyle="1" w:styleId="390">
    <w:name w:val="Intense Quote Char"/>
    <w:link w:val="389"/>
    <w:qFormat/>
    <w:locked/>
    <w:uiPriority w:val="0"/>
    <w:rPr>
      <w:rFonts w:ascii="Times New Roman" w:hAnsi="Times New Roman" w:eastAsia="宋体" w:cs="Times New Roman"/>
      <w:b/>
      <w:bCs/>
      <w:i/>
      <w:iCs/>
      <w:color w:val="4F81BD"/>
      <w:kern w:val="0"/>
      <w:sz w:val="24"/>
      <w:szCs w:val="24"/>
      <w:lang w:eastAsia="de-DE"/>
    </w:rPr>
  </w:style>
  <w:style w:type="paragraph" w:customStyle="1" w:styleId="391">
    <w:name w:val="List Paragraph1"/>
    <w:basedOn w:val="1"/>
    <w:qFormat/>
    <w:uiPriority w:val="0"/>
    <w:pPr>
      <w:widowControl/>
      <w:spacing w:before="240" w:after="60"/>
      <w:ind w:left="720"/>
      <w:jc w:val="left"/>
    </w:pPr>
    <w:rPr>
      <w:rFonts w:ascii="Arial" w:hAnsi="Arial" w:eastAsia="宋体" w:cs="Times New Roman"/>
      <w:kern w:val="0"/>
      <w:sz w:val="22"/>
      <w:szCs w:val="24"/>
      <w:lang w:eastAsia="de-DE"/>
    </w:rPr>
  </w:style>
  <w:style w:type="paragraph" w:customStyle="1" w:styleId="392">
    <w:name w:val="No Spacing1"/>
    <w:qFormat/>
    <w:uiPriority w:val="0"/>
    <w:pPr>
      <w:spacing w:before="240" w:after="60"/>
      <w:ind w:left="170"/>
    </w:pPr>
    <w:rPr>
      <w:rFonts w:ascii="Times New Roman" w:hAnsi="Times New Roman" w:eastAsia="宋体" w:cs="Times New Roman"/>
      <w:sz w:val="24"/>
      <w:szCs w:val="24"/>
      <w:lang w:val="en-US" w:eastAsia="de-DE" w:bidi="ar-SA"/>
    </w:rPr>
  </w:style>
  <w:style w:type="paragraph" w:customStyle="1" w:styleId="393">
    <w:name w:val="Quote1"/>
    <w:basedOn w:val="1"/>
    <w:next w:val="1"/>
    <w:link w:val="394"/>
    <w:qFormat/>
    <w:uiPriority w:val="0"/>
    <w:pPr>
      <w:widowControl/>
      <w:spacing w:before="240" w:after="60"/>
      <w:ind w:left="170"/>
      <w:jc w:val="left"/>
    </w:pPr>
    <w:rPr>
      <w:rFonts w:ascii="Times New Roman" w:hAnsi="Times New Roman" w:eastAsia="宋体" w:cs="Times New Roman"/>
      <w:i/>
      <w:iCs/>
      <w:color w:val="000000"/>
      <w:kern w:val="0"/>
      <w:sz w:val="24"/>
      <w:szCs w:val="24"/>
      <w:lang w:eastAsia="de-DE"/>
    </w:rPr>
  </w:style>
  <w:style w:type="character" w:customStyle="1" w:styleId="394">
    <w:name w:val="Quote Char"/>
    <w:link w:val="393"/>
    <w:qFormat/>
    <w:locked/>
    <w:uiPriority w:val="0"/>
    <w:rPr>
      <w:rFonts w:ascii="Times New Roman" w:hAnsi="Times New Roman" w:eastAsia="宋体" w:cs="Times New Roman"/>
      <w:i/>
      <w:iCs/>
      <w:color w:val="000000"/>
      <w:kern w:val="0"/>
      <w:sz w:val="24"/>
      <w:szCs w:val="24"/>
      <w:lang w:eastAsia="de-DE"/>
    </w:rPr>
  </w:style>
  <w:style w:type="paragraph" w:customStyle="1" w:styleId="395">
    <w:name w:val="Formatvorlage Überschrift 2 + (Symbol) SimSun 11 pt Fett Automatisch"/>
    <w:basedOn w:val="5"/>
    <w:link w:val="396"/>
    <w:qFormat/>
    <w:uiPriority w:val="0"/>
    <w:pPr>
      <w:keepLines w:val="0"/>
      <w:tabs>
        <w:tab w:val="left" w:pos="1492"/>
      </w:tabs>
      <w:spacing w:before="240" w:after="60" w:line="240" w:lineRule="auto"/>
      <w:ind w:left="170" w:hanging="360"/>
      <w:jc w:val="left"/>
    </w:pPr>
    <w:rPr>
      <w:rFonts w:ascii="Arial" w:hAnsi="Arial"/>
      <w:bCs w:val="0"/>
      <w:kern w:val="0"/>
      <w:sz w:val="22"/>
      <w:szCs w:val="24"/>
      <w:lang w:val="en-GB"/>
    </w:rPr>
  </w:style>
  <w:style w:type="character" w:customStyle="1" w:styleId="396">
    <w:name w:val="Formatvorlage Überschrift 2 + (Symbol) SimSun 11 pt Fett Automatisch Zchn"/>
    <w:link w:val="395"/>
    <w:qFormat/>
    <w:uiPriority w:val="0"/>
    <w:rPr>
      <w:rFonts w:ascii="Arial" w:hAnsi="Arial" w:eastAsia="宋体" w:cs="Times New Roman"/>
      <w:b/>
      <w:kern w:val="0"/>
      <w:sz w:val="22"/>
      <w:szCs w:val="24"/>
      <w:lang w:val="en-GB"/>
    </w:rPr>
  </w:style>
  <w:style w:type="paragraph" w:customStyle="1" w:styleId="397">
    <w:name w:val="Formatvorlage Überschrift 3"/>
    <w:basedOn w:val="6"/>
    <w:link w:val="398"/>
    <w:qFormat/>
    <w:uiPriority w:val="0"/>
    <w:pPr>
      <w:widowControl w:val="0"/>
      <w:tabs>
        <w:tab w:val="left" w:pos="1492"/>
        <w:tab w:val="clear" w:pos="680"/>
        <w:tab w:val="clear" w:pos="1134"/>
        <w:tab w:val="clear" w:pos="1701"/>
        <w:tab w:val="clear" w:pos="2268"/>
        <w:tab w:val="clear" w:pos="2835"/>
        <w:tab w:val="clear" w:pos="3402"/>
      </w:tabs>
      <w:spacing w:before="240" w:after="60"/>
      <w:ind w:hanging="360"/>
      <w:contextualSpacing w:val="0"/>
    </w:pPr>
    <w:rPr>
      <w:rFonts w:ascii="宋体" w:hAnsi="宋体"/>
      <w:b w:val="0"/>
      <w:bCs w:val="0"/>
      <w:snapToGrid/>
      <w:color w:val="auto"/>
      <w:sz w:val="22"/>
      <w:szCs w:val="22"/>
    </w:rPr>
  </w:style>
  <w:style w:type="character" w:customStyle="1" w:styleId="398">
    <w:name w:val="Formatvorlage Überschrift 3 Zchn Zchn"/>
    <w:link w:val="397"/>
    <w:qFormat/>
    <w:uiPriority w:val="0"/>
    <w:rPr>
      <w:rFonts w:ascii="宋体" w:hAnsi="宋体" w:eastAsia="宋体" w:cs="Times New Roman"/>
      <w:kern w:val="0"/>
      <w:sz w:val="22"/>
      <w:lang w:val="en-GB"/>
    </w:rPr>
  </w:style>
  <w:style w:type="paragraph" w:customStyle="1" w:styleId="399">
    <w:name w:val="Formatvorlage Überschrift 2 + 11 pt Fett Automatisch"/>
    <w:basedOn w:val="5"/>
    <w:link w:val="400"/>
    <w:qFormat/>
    <w:uiPriority w:val="0"/>
    <w:pPr>
      <w:keepLines w:val="0"/>
      <w:tabs>
        <w:tab w:val="left" w:pos="1492"/>
      </w:tabs>
      <w:spacing w:before="240" w:after="60" w:line="240" w:lineRule="auto"/>
      <w:ind w:left="170" w:hanging="360"/>
      <w:jc w:val="left"/>
    </w:pPr>
    <w:rPr>
      <w:rFonts w:ascii="Arial" w:hAnsi="Arial"/>
      <w:b w:val="0"/>
      <w:bCs w:val="0"/>
      <w:kern w:val="0"/>
      <w:sz w:val="22"/>
      <w:szCs w:val="24"/>
      <w:lang w:val="en-GB"/>
    </w:rPr>
  </w:style>
  <w:style w:type="character" w:customStyle="1" w:styleId="400">
    <w:name w:val="Formatvorlage Überschrift 2 + 11 pt Fett Automatisch Zchn"/>
    <w:link w:val="399"/>
    <w:qFormat/>
    <w:uiPriority w:val="0"/>
    <w:rPr>
      <w:rFonts w:ascii="Arial" w:hAnsi="Arial" w:eastAsia="宋体" w:cs="Times New Roman"/>
      <w:kern w:val="0"/>
      <w:sz w:val="22"/>
      <w:szCs w:val="24"/>
      <w:lang w:val="en-GB"/>
    </w:rPr>
  </w:style>
  <w:style w:type="paragraph" w:customStyle="1" w:styleId="401">
    <w:name w:val="Formatvorlage Überschrift 3 + Links"/>
    <w:basedOn w:val="6"/>
    <w:qFormat/>
    <w:uiPriority w:val="0"/>
    <w:pPr>
      <w:widowControl w:val="0"/>
      <w:tabs>
        <w:tab w:val="left" w:pos="1492"/>
        <w:tab w:val="clear" w:pos="680"/>
        <w:tab w:val="clear" w:pos="1134"/>
        <w:tab w:val="clear" w:pos="1701"/>
        <w:tab w:val="clear" w:pos="2268"/>
        <w:tab w:val="clear" w:pos="2835"/>
        <w:tab w:val="clear" w:pos="3402"/>
      </w:tabs>
      <w:spacing w:before="240" w:after="60"/>
      <w:ind w:hanging="360"/>
      <w:contextualSpacing w:val="0"/>
    </w:pPr>
    <w:rPr>
      <w:rFonts w:ascii="宋体" w:hAnsi="宋体" w:eastAsia="Times New Roman"/>
      <w:b w:val="0"/>
      <w:bCs w:val="0"/>
      <w:snapToGrid/>
      <w:sz w:val="22"/>
      <w:szCs w:val="20"/>
      <w:lang w:val="en-US"/>
    </w:rPr>
  </w:style>
  <w:style w:type="paragraph" w:customStyle="1" w:styleId="402">
    <w:name w:val="NOTE"/>
    <w:basedOn w:val="1"/>
    <w:link w:val="404"/>
    <w:qFormat/>
    <w:uiPriority w:val="99"/>
    <w:pPr>
      <w:widowControl/>
      <w:spacing w:before="240" w:after="100"/>
    </w:pPr>
    <w:rPr>
      <w:rFonts w:ascii="Arial" w:hAnsi="Arial" w:eastAsia="MS Mincho" w:cs="Times New Roman"/>
      <w:spacing w:val="8"/>
      <w:kern w:val="0"/>
      <w:sz w:val="16"/>
      <w:szCs w:val="16"/>
      <w:lang w:val="en-GB"/>
    </w:rPr>
  </w:style>
  <w:style w:type="character" w:customStyle="1" w:styleId="403">
    <w:name w:val="SUPerscript"/>
    <w:qFormat/>
    <w:uiPriority w:val="0"/>
    <w:rPr>
      <w:kern w:val="0"/>
      <w:position w:val="6"/>
      <w:sz w:val="16"/>
      <w:szCs w:val="16"/>
    </w:rPr>
  </w:style>
  <w:style w:type="character" w:customStyle="1" w:styleId="404">
    <w:name w:val="NOTE Zchn"/>
    <w:link w:val="402"/>
    <w:qFormat/>
    <w:uiPriority w:val="99"/>
    <w:rPr>
      <w:rFonts w:ascii="Arial" w:hAnsi="Arial" w:eastAsia="MS Mincho" w:cs="Times New Roman"/>
      <w:spacing w:val="8"/>
      <w:kern w:val="0"/>
      <w:sz w:val="16"/>
      <w:szCs w:val="16"/>
      <w:lang w:val="en-GB"/>
    </w:rPr>
  </w:style>
  <w:style w:type="character" w:customStyle="1" w:styleId="405">
    <w:name w:val="Formatvorlage Überschrift 3 + Automatisch Zchn"/>
    <w:link w:val="384"/>
    <w:qFormat/>
    <w:uiPriority w:val="0"/>
    <w:rPr>
      <w:rFonts w:ascii="宋体" w:hAnsi="宋体" w:eastAsia="宋体" w:cs="Times New Roman"/>
      <w:kern w:val="0"/>
      <w:sz w:val="22"/>
      <w:lang w:val="en-GB"/>
    </w:rPr>
  </w:style>
  <w:style w:type="paragraph" w:customStyle="1" w:styleId="406">
    <w:name w:val="Formatvorlage Überschrift 4 + Automatisch"/>
    <w:basedOn w:val="7"/>
    <w:link w:val="407"/>
    <w:qFormat/>
    <w:uiPriority w:val="0"/>
    <w:pPr>
      <w:widowControl w:val="0"/>
      <w:tabs>
        <w:tab w:val="left" w:pos="1492"/>
        <w:tab w:val="clear" w:pos="680"/>
        <w:tab w:val="clear" w:pos="1134"/>
        <w:tab w:val="clear" w:pos="1701"/>
        <w:tab w:val="clear" w:pos="2268"/>
        <w:tab w:val="clear" w:pos="2835"/>
        <w:tab w:val="clear" w:pos="3402"/>
      </w:tabs>
      <w:spacing w:before="240" w:after="60"/>
      <w:ind w:left="284" w:hanging="360"/>
    </w:pPr>
    <w:rPr>
      <w:rFonts w:ascii="宋体" w:hAnsi="宋体"/>
      <w:b w:val="0"/>
      <w:bCs w:val="0"/>
      <w:snapToGrid/>
      <w:color w:val="auto"/>
      <w:sz w:val="22"/>
      <w:szCs w:val="24"/>
      <w:lang w:eastAsia="de-DE"/>
    </w:rPr>
  </w:style>
  <w:style w:type="character" w:customStyle="1" w:styleId="407">
    <w:name w:val="Formatvorlage Überschrift 4 + Automatisch Zchn"/>
    <w:link w:val="406"/>
    <w:qFormat/>
    <w:uiPriority w:val="0"/>
    <w:rPr>
      <w:rFonts w:ascii="宋体" w:hAnsi="宋体" w:eastAsia="宋体" w:cs="Times New Roman"/>
      <w:kern w:val="0"/>
      <w:sz w:val="22"/>
      <w:szCs w:val="24"/>
      <w:lang w:val="en-GB" w:eastAsia="de-DE"/>
    </w:rPr>
  </w:style>
  <w:style w:type="paragraph" w:customStyle="1" w:styleId="408">
    <w:name w:val="Style Heading 5 + Auto"/>
    <w:basedOn w:val="8"/>
    <w:qFormat/>
    <w:uiPriority w:val="0"/>
    <w:pPr>
      <w:widowControl w:val="0"/>
      <w:tabs>
        <w:tab w:val="left" w:pos="1492"/>
      </w:tabs>
      <w:spacing w:before="240" w:after="60"/>
      <w:ind w:left="1492" w:hanging="360"/>
    </w:pPr>
    <w:rPr>
      <w:rFonts w:ascii="Arial" w:hAnsi="Arial" w:eastAsia="宋体" w:cs="Arial"/>
      <w:b w:val="0"/>
      <w:color w:val="auto"/>
      <w:kern w:val="0"/>
      <w:sz w:val="22"/>
      <w:szCs w:val="22"/>
    </w:rPr>
  </w:style>
  <w:style w:type="paragraph" w:customStyle="1" w:styleId="409">
    <w:name w:val="TABLE-title"/>
    <w:basedOn w:val="380"/>
    <w:qFormat/>
    <w:uiPriority w:val="99"/>
    <w:pPr>
      <w:keepNext/>
      <w:ind w:left="0"/>
      <w:jc w:val="center"/>
    </w:pPr>
    <w:rPr>
      <w:b/>
      <w:bCs/>
    </w:rPr>
  </w:style>
  <w:style w:type="paragraph" w:customStyle="1" w:styleId="410">
    <w:name w:val="table-centered"/>
    <w:basedOn w:val="1"/>
    <w:qFormat/>
    <w:uiPriority w:val="99"/>
    <w:pPr>
      <w:widowControl/>
      <w:spacing w:before="60" w:after="60"/>
      <w:jc w:val="center"/>
    </w:pPr>
    <w:rPr>
      <w:rFonts w:ascii="Arial" w:hAnsi="Arial" w:eastAsia="宋体" w:cs="Times New Roman"/>
      <w:spacing w:val="8"/>
      <w:kern w:val="0"/>
      <w:sz w:val="16"/>
      <w:szCs w:val="20"/>
      <w:lang w:val="en-GB" w:eastAsia="en-US"/>
    </w:rPr>
  </w:style>
  <w:style w:type="character" w:customStyle="1" w:styleId="411">
    <w:name w:val="new"/>
    <w:qFormat/>
    <w:uiPriority w:val="0"/>
  </w:style>
  <w:style w:type="character" w:customStyle="1" w:styleId="412">
    <w:name w:val="f101"/>
    <w:qFormat/>
    <w:uiPriority w:val="0"/>
    <w:rPr>
      <w:sz w:val="24"/>
      <w:szCs w:val="24"/>
    </w:rPr>
  </w:style>
  <w:style w:type="paragraph" w:customStyle="1" w:styleId="413">
    <w:name w:val="章节"/>
    <w:basedOn w:val="1"/>
    <w:link w:val="415"/>
    <w:qFormat/>
    <w:uiPriority w:val="0"/>
    <w:pPr>
      <w:spacing w:line="520" w:lineRule="exact"/>
      <w:ind w:firstLine="640" w:firstLineChars="200"/>
      <w:jc w:val="left"/>
      <w:outlineLvl w:val="1"/>
    </w:pPr>
    <w:rPr>
      <w:rFonts w:ascii="Times New Roman" w:hAnsi="Times New Roman" w:eastAsia="楷体_GB2312" w:cs="Times New Roman"/>
      <w:color w:val="000000"/>
      <w:sz w:val="32"/>
      <w:szCs w:val="32"/>
    </w:rPr>
  </w:style>
  <w:style w:type="paragraph" w:customStyle="1" w:styleId="414">
    <w:name w:val="二级章节"/>
    <w:basedOn w:val="1"/>
    <w:link w:val="416"/>
    <w:qFormat/>
    <w:uiPriority w:val="0"/>
    <w:pPr>
      <w:spacing w:line="580" w:lineRule="exact"/>
      <w:ind w:firstLine="640" w:firstLineChars="200"/>
    </w:pPr>
    <w:rPr>
      <w:rFonts w:ascii="Times New Roman" w:hAnsi="Times New Roman" w:eastAsia="仿宋_GB2312" w:cs="Times New Roman"/>
      <w:bCs/>
      <w:sz w:val="32"/>
      <w:szCs w:val="32"/>
    </w:rPr>
  </w:style>
  <w:style w:type="character" w:customStyle="1" w:styleId="415">
    <w:name w:val="章节 字符"/>
    <w:basedOn w:val="92"/>
    <w:link w:val="413"/>
    <w:qFormat/>
    <w:uiPriority w:val="0"/>
    <w:rPr>
      <w:rFonts w:ascii="Times New Roman" w:hAnsi="Times New Roman" w:eastAsia="楷体_GB2312" w:cs="Times New Roman"/>
      <w:color w:val="000000"/>
      <w:sz w:val="32"/>
      <w:szCs w:val="32"/>
    </w:rPr>
  </w:style>
  <w:style w:type="character" w:customStyle="1" w:styleId="416">
    <w:name w:val="二级章节 字符"/>
    <w:basedOn w:val="92"/>
    <w:link w:val="414"/>
    <w:qFormat/>
    <w:uiPriority w:val="0"/>
    <w:rPr>
      <w:rFonts w:ascii="Times New Roman" w:hAnsi="Times New Roman" w:eastAsia="仿宋_GB2312" w:cs="Times New Roman"/>
      <w:bCs/>
      <w:sz w:val="32"/>
      <w:szCs w:val="32"/>
    </w:rPr>
  </w:style>
  <w:style w:type="character" w:customStyle="1" w:styleId="417">
    <w:name w:val="fontstyle01"/>
    <w:basedOn w:val="92"/>
    <w:qFormat/>
    <w:uiPriority w:val="0"/>
    <w:rPr>
      <w:rFonts w:hint="eastAsia" w:ascii="ËÎÌå" w:eastAsia="ËÎÌå"/>
      <w:color w:val="000000"/>
      <w:sz w:val="22"/>
      <w:szCs w:val="22"/>
    </w:rPr>
  </w:style>
  <w:style w:type="character" w:customStyle="1" w:styleId="418">
    <w:name w:val="未处理的提及1"/>
    <w:basedOn w:val="92"/>
    <w:semiHidden/>
    <w:unhideWhenUsed/>
    <w:qFormat/>
    <w:uiPriority w:val="99"/>
    <w:rPr>
      <w:color w:val="605E5C"/>
      <w:shd w:val="clear" w:color="auto" w:fill="E1DFDD"/>
    </w:rPr>
  </w:style>
  <w:style w:type="paragraph" w:customStyle="1" w:styleId="419">
    <w:name w:val="调查项目"/>
    <w:basedOn w:val="1"/>
    <w:qFormat/>
    <w:uiPriority w:val="0"/>
    <w:pPr>
      <w:widowControl/>
      <w:jc w:val="left"/>
      <w:outlineLvl w:val="1"/>
    </w:pPr>
    <w:rPr>
      <w:rFonts w:ascii="Tahoma" w:hAnsi="Tahoma" w:eastAsia="黑体" w:cs="Times New Roman"/>
      <w:bCs/>
      <w:color w:val="333399"/>
      <w:kern w:val="0"/>
      <w:sz w:val="18"/>
      <w:szCs w:val="18"/>
    </w:rPr>
  </w:style>
  <w:style w:type="paragraph" w:customStyle="1" w:styleId="420">
    <w:name w:val="列标题"/>
    <w:basedOn w:val="5"/>
    <w:qFormat/>
    <w:uiPriority w:val="0"/>
    <w:pPr>
      <w:keepNext w:val="0"/>
      <w:keepLines w:val="0"/>
      <w:widowControl/>
      <w:spacing w:before="0" w:after="0" w:line="240" w:lineRule="auto"/>
      <w:jc w:val="center"/>
    </w:pPr>
    <w:rPr>
      <w:rFonts w:ascii="Tahoma" w:hAnsi="Tahoma" w:eastAsia="黑体"/>
      <w:b w:val="0"/>
      <w:color w:val="333399"/>
      <w:kern w:val="0"/>
      <w:sz w:val="18"/>
      <w:szCs w:val="18"/>
    </w:rPr>
  </w:style>
  <w:style w:type="paragraph" w:customStyle="1" w:styleId="421">
    <w:name w:val="表格正文文本"/>
    <w:basedOn w:val="1"/>
    <w:qFormat/>
    <w:uiPriority w:val="0"/>
    <w:pPr>
      <w:widowControl/>
      <w:jc w:val="center"/>
    </w:pPr>
    <w:rPr>
      <w:rFonts w:ascii="Tahoma" w:hAnsi="Tahoma" w:eastAsia="宋体" w:cs="Times New Roman"/>
      <w:kern w:val="0"/>
      <w:sz w:val="18"/>
      <w:szCs w:val="20"/>
    </w:rPr>
  </w:style>
  <w:style w:type="character" w:customStyle="1" w:styleId="422">
    <w:name w:val="批注文字 Char"/>
    <w:qFormat/>
    <w:uiPriority w:val="0"/>
    <w:rPr>
      <w:rFonts w:ascii="Times New Roman" w:hAnsi="Times New Roman" w:cs="Times New Roman"/>
      <w:kern w:val="2"/>
      <w:sz w:val="21"/>
      <w:szCs w:val="24"/>
    </w:rPr>
  </w:style>
  <w:style w:type="paragraph" w:customStyle="1" w:styleId="423">
    <w:name w:val="Revision"/>
    <w:hidden/>
    <w:semiHidden/>
    <w:qFormat/>
    <w:uiPriority w:val="99"/>
    <w:rPr>
      <w:rFonts w:asciiTheme="minorHAnsi" w:hAnsiTheme="minorHAnsi" w:eastAsiaTheme="minorEastAsia"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A6F4B4-5F31-4780-83D7-9D94A62E57CE}">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49</Pages>
  <Words>7296</Words>
  <Characters>7902</Characters>
  <Lines>170</Lines>
  <Paragraphs>47</Paragraphs>
  <TotalTime>1891</TotalTime>
  <ScaleCrop>false</ScaleCrop>
  <LinksUpToDate>false</LinksUpToDate>
  <CharactersWithSpaces>7941</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2024-07-23T03:26:00Z</dcterms:created>
  <dc:creator>胡雪燕</dc:creator>
  <cp:lastModifiedBy>Blank  Space</cp:lastModifiedBy>
  <cp:lastPrinted>2024-10-12T02:50:00Z</cp:lastPrinted>
  <dcterms:modified xsi:type="dcterms:W3CDTF">2024-10-15T02:31:39Z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17747F5F32674328B9EBB06044B87185_13</vt:lpwstr>
  </property>
</Properties>
</file>