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5374D">
      <w:pPr>
        <w:spacing w:line="520" w:lineRule="exact"/>
        <w:outlineLvl w:val="0"/>
        <w:rPr>
          <w:rFonts w:ascii="Times New Roman" w:hAnsi="Times New Roman" w:eastAsia="方正小标宋简体"/>
          <w:bCs/>
          <w:sz w:val="44"/>
          <w:szCs w:val="44"/>
        </w:rPr>
      </w:pPr>
    </w:p>
    <w:p w14:paraId="29DA1B05">
      <w:pPr>
        <w:spacing w:line="520" w:lineRule="exact"/>
        <w:outlineLvl w:val="0"/>
        <w:rPr>
          <w:rFonts w:ascii="Times New Roman" w:hAnsi="Times New Roman" w:eastAsia="黑体"/>
          <w:bCs/>
          <w:sz w:val="32"/>
          <w:szCs w:val="32"/>
        </w:rPr>
      </w:pPr>
      <w:r>
        <w:rPr>
          <w:rFonts w:ascii="Times New Roman" w:hAnsi="Times New Roman" w:eastAsia="黑体"/>
          <w:bCs/>
          <w:sz w:val="32"/>
          <w:szCs w:val="32"/>
        </w:rPr>
        <w:t>附件1</w:t>
      </w:r>
    </w:p>
    <w:p w14:paraId="31FC97AE">
      <w:pPr>
        <w:spacing w:line="520" w:lineRule="exact"/>
        <w:outlineLvl w:val="0"/>
        <w:rPr>
          <w:rFonts w:ascii="Times New Roman" w:hAnsi="Times New Roman" w:eastAsia="方正小标宋简体"/>
          <w:bCs/>
          <w:sz w:val="44"/>
          <w:szCs w:val="44"/>
        </w:rPr>
      </w:pPr>
    </w:p>
    <w:p w14:paraId="56588BA1">
      <w:pPr>
        <w:spacing w:line="520" w:lineRule="exact"/>
        <w:jc w:val="center"/>
        <w:outlineLvl w:val="0"/>
        <w:rPr>
          <w:rFonts w:ascii="Times New Roman" w:hAnsi="Times New Roman" w:eastAsia="方正小标宋简体"/>
          <w:bCs/>
          <w:sz w:val="44"/>
          <w:szCs w:val="44"/>
        </w:rPr>
      </w:pPr>
      <w:bookmarkStart w:id="17" w:name="_GoBack"/>
      <w:r>
        <w:rPr>
          <w:rFonts w:hint="eastAsia" w:ascii="Times New Roman" w:hAnsi="Times New Roman" w:eastAsia="方正小标宋简体"/>
          <w:bCs/>
          <w:sz w:val="44"/>
          <w:szCs w:val="44"/>
        </w:rPr>
        <w:t>乳房植入体产品注册审查指导原则</w:t>
      </w:r>
    </w:p>
    <w:bookmarkEnd w:id="17"/>
    <w:p w14:paraId="2C5FADAC">
      <w:pPr>
        <w:spacing w:line="520" w:lineRule="exact"/>
        <w:jc w:val="center"/>
        <w:outlineLvl w:val="0"/>
        <w:rPr>
          <w:rFonts w:ascii="Times New Roman" w:hAnsi="Times New Roman" w:eastAsia="方正小标宋简体"/>
          <w:bCs/>
          <w:sz w:val="44"/>
          <w:szCs w:val="44"/>
        </w:rPr>
      </w:pPr>
      <w:r>
        <w:rPr>
          <w:rFonts w:hint="eastAsia" w:ascii="Times New Roman" w:hAnsi="Times New Roman" w:eastAsia="方正小标宋简体"/>
          <w:bCs/>
          <w:sz w:val="44"/>
          <w:szCs w:val="44"/>
        </w:rPr>
        <w:t>（</w:t>
      </w:r>
      <w:r>
        <w:rPr>
          <w:rFonts w:ascii="Times New Roman" w:hAnsi="Times New Roman" w:eastAsia="方正小标宋简体"/>
          <w:bCs/>
          <w:sz w:val="44"/>
          <w:szCs w:val="44"/>
        </w:rPr>
        <w:t>2024</w:t>
      </w:r>
      <w:r>
        <w:rPr>
          <w:rFonts w:hint="eastAsia" w:ascii="Times New Roman" w:hAnsi="Times New Roman" w:eastAsia="方正小标宋简体"/>
          <w:bCs/>
          <w:sz w:val="44"/>
          <w:szCs w:val="44"/>
        </w:rPr>
        <w:t>年修订版）</w:t>
      </w:r>
    </w:p>
    <w:p w14:paraId="243AD058">
      <w:pPr>
        <w:spacing w:line="520" w:lineRule="exact"/>
        <w:ind w:firstLine="640" w:firstLineChars="200"/>
        <w:rPr>
          <w:rFonts w:ascii="Times New Roman" w:hAnsi="Times New Roman" w:eastAsia="仿宋_GB2312"/>
          <w:sz w:val="32"/>
          <w:szCs w:val="28"/>
        </w:rPr>
      </w:pPr>
    </w:p>
    <w:p w14:paraId="35FE51B1">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本指导原则旨在为药品监管部门对乳房植入体注册申报资料的技术审评提供技术指导，同时也为注册申请人进行乳房植入体的注册申报提供参考。</w:t>
      </w:r>
    </w:p>
    <w:p w14:paraId="4E2CCC52">
      <w:pPr>
        <w:wordWrap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本指导原则系对乳房植入体</w:t>
      </w:r>
      <w:r>
        <w:rPr>
          <w:rFonts w:ascii="Times New Roman" w:hAnsi="Times New Roman" w:eastAsia="仿宋_GB2312"/>
          <w:sz w:val="32"/>
          <w:szCs w:val="28"/>
        </w:rPr>
        <w:t>注册申报资料</w:t>
      </w:r>
      <w:r>
        <w:rPr>
          <w:rFonts w:ascii="Times New Roman" w:hAnsi="Times New Roman" w:eastAsia="仿宋_GB2312"/>
          <w:bCs/>
          <w:sz w:val="32"/>
          <w:szCs w:val="28"/>
        </w:rPr>
        <w:t>的一般要求，注册申请人可依据具体产品的特性对注册申报资料的内容进行充实和细化。注册申请人还可依据具体产品的特性确定其中的具体内容是否适用，若不适用，需具体阐述其理由及相应的科学依据。</w:t>
      </w:r>
    </w:p>
    <w:p w14:paraId="2BD5665F">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本指导原则是对</w:t>
      </w:r>
      <w:r>
        <w:rPr>
          <w:rFonts w:ascii="Times New Roman" w:hAnsi="Times New Roman" w:eastAsia="仿宋_GB2312"/>
          <w:bCs/>
          <w:sz w:val="32"/>
          <w:szCs w:val="28"/>
        </w:rPr>
        <w:t>注册申请人和技术审评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350433B1">
      <w:pPr>
        <w:wordWrap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本指导原则是在现行法规和标准体系以及当前认知水平下制定的，随着法规和标准的不断完善，以及</w:t>
      </w:r>
      <w:r>
        <w:rPr>
          <w:rFonts w:ascii="Times New Roman" w:hAnsi="Times New Roman" w:eastAsia="仿宋_GB2312"/>
          <w:sz w:val="32"/>
          <w:szCs w:val="28"/>
        </w:rPr>
        <w:t>科学技术的不断发展</w:t>
      </w:r>
      <w:r>
        <w:rPr>
          <w:rFonts w:ascii="Times New Roman" w:hAnsi="Times New Roman" w:eastAsia="仿宋_GB2312"/>
          <w:bCs/>
          <w:sz w:val="32"/>
          <w:szCs w:val="28"/>
        </w:rPr>
        <w:t>，本指导原则相关内容也将</w:t>
      </w:r>
      <w:r>
        <w:rPr>
          <w:rFonts w:ascii="Times New Roman" w:hAnsi="Times New Roman" w:eastAsia="仿宋_GB2312"/>
          <w:sz w:val="32"/>
          <w:szCs w:val="28"/>
        </w:rPr>
        <w:t>进行适时的</w:t>
      </w:r>
      <w:r>
        <w:rPr>
          <w:rFonts w:ascii="Times New Roman" w:hAnsi="Times New Roman" w:eastAsia="仿宋_GB2312"/>
          <w:bCs/>
          <w:sz w:val="32"/>
          <w:szCs w:val="28"/>
        </w:rPr>
        <w:t>调整。</w:t>
      </w:r>
    </w:p>
    <w:p w14:paraId="2FA6C231">
      <w:pPr>
        <w:wordWrap w:val="0"/>
        <w:topLinePunct/>
        <w:autoSpaceDE w:val="0"/>
        <w:autoSpaceDN w:val="0"/>
        <w:spacing w:line="520" w:lineRule="exact"/>
        <w:ind w:firstLine="640" w:firstLineChars="200"/>
        <w:outlineLvl w:val="0"/>
        <w:rPr>
          <w:rFonts w:ascii="Times New Roman" w:hAnsi="Times New Roman" w:eastAsia="黑体"/>
          <w:bCs/>
          <w:sz w:val="32"/>
          <w:szCs w:val="28"/>
        </w:rPr>
      </w:pPr>
      <w:r>
        <w:rPr>
          <w:rFonts w:ascii="Times New Roman" w:hAnsi="Times New Roman" w:eastAsia="黑体"/>
          <w:bCs/>
          <w:sz w:val="32"/>
          <w:szCs w:val="28"/>
        </w:rPr>
        <w:t>一、适用范围</w:t>
      </w:r>
    </w:p>
    <w:p w14:paraId="05446205">
      <w:pPr>
        <w:wordWrap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本指导原则所适用的乳房植入体是指在乳房再造和隆乳中所用到的乳房植入体（不包括不带有硅橡胶壳体的填充材料），主要包括以下类型：</w:t>
      </w:r>
    </w:p>
    <w:p w14:paraId="4FE4C894">
      <w:pPr>
        <w:wordWrap w:val="0"/>
        <w:topLinePunct/>
        <w:autoSpaceDE w:val="0"/>
        <w:autoSpaceDN w:val="0"/>
        <w:spacing w:line="520" w:lineRule="exact"/>
        <w:ind w:firstLine="640" w:firstLineChars="200"/>
        <w:outlineLvl w:val="1"/>
        <w:rPr>
          <w:rFonts w:ascii="Times New Roman" w:hAnsi="Times New Roman" w:eastAsia="楷体"/>
          <w:sz w:val="32"/>
          <w:szCs w:val="28"/>
        </w:rPr>
      </w:pPr>
      <w:r>
        <w:rPr>
          <w:rFonts w:ascii="Times New Roman" w:hAnsi="Times New Roman" w:eastAsia="楷体"/>
          <w:sz w:val="32"/>
          <w:szCs w:val="28"/>
        </w:rPr>
        <w:t>（一）硅凝胶填充乳房植入体</w:t>
      </w:r>
    </w:p>
    <w:p w14:paraId="70769A4B">
      <w:pPr>
        <w:wordWrap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硅凝胶填充乳房植入体的最外层是一层主要由聚硅氧烷（例如聚二甲基硅氧烷、聚甲基苯基硅氧烷）制成的硅橡胶壳体，里面填充一定量的硅凝胶。</w:t>
      </w:r>
    </w:p>
    <w:p w14:paraId="08E45C16">
      <w:pPr>
        <w:wordWrap w:val="0"/>
        <w:topLinePunct/>
        <w:autoSpaceDE w:val="0"/>
        <w:autoSpaceDN w:val="0"/>
        <w:spacing w:line="520" w:lineRule="exact"/>
        <w:ind w:firstLine="640" w:firstLineChars="200"/>
        <w:outlineLvl w:val="1"/>
        <w:rPr>
          <w:rFonts w:ascii="Times New Roman" w:hAnsi="Times New Roman" w:eastAsia="楷体"/>
          <w:sz w:val="32"/>
          <w:szCs w:val="28"/>
        </w:rPr>
      </w:pPr>
      <w:r>
        <w:rPr>
          <w:rFonts w:ascii="Times New Roman" w:hAnsi="Times New Roman" w:eastAsia="楷体"/>
          <w:sz w:val="32"/>
          <w:szCs w:val="28"/>
        </w:rPr>
        <w:t>（二）其他填充乳房植入体</w:t>
      </w:r>
    </w:p>
    <w:p w14:paraId="52796B0C">
      <w:pPr>
        <w:wordWrap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此类乳房植入体的最外层是一层主要由聚硅氧烷（例如聚二甲基硅氧烷、聚甲基苯基硅氧烷）制成的硅橡胶壳体，填充物是生理盐水或其他物质。某些用生理盐水填充的乳房植入体有闭锁的阀门。</w:t>
      </w:r>
    </w:p>
    <w:p w14:paraId="3CC265B3">
      <w:pPr>
        <w:wordWrap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采用新材料、新设计、新工艺，或具有特殊用途的乳房植入体产品，可参考本指导原则适用部分。</w:t>
      </w:r>
    </w:p>
    <w:p w14:paraId="7D63A4CA">
      <w:pPr>
        <w:wordWrap w:val="0"/>
        <w:topLinePunct/>
        <w:autoSpaceDE w:val="0"/>
        <w:autoSpaceDN w:val="0"/>
        <w:spacing w:line="520" w:lineRule="exact"/>
        <w:ind w:firstLine="640" w:firstLineChars="200"/>
        <w:outlineLvl w:val="0"/>
        <w:rPr>
          <w:rFonts w:ascii="Times New Roman" w:hAnsi="Times New Roman" w:eastAsia="黑体"/>
          <w:bCs/>
          <w:sz w:val="32"/>
          <w:szCs w:val="28"/>
        </w:rPr>
      </w:pPr>
      <w:bookmarkStart w:id="0" w:name="_Toc87883060"/>
      <w:bookmarkStart w:id="1" w:name="_Toc81253079"/>
      <w:r>
        <w:rPr>
          <w:rFonts w:ascii="Times New Roman" w:hAnsi="Times New Roman" w:eastAsia="黑体"/>
          <w:bCs/>
          <w:sz w:val="32"/>
          <w:szCs w:val="28"/>
        </w:rPr>
        <w:t>二、注册审查要点</w:t>
      </w:r>
      <w:bookmarkEnd w:id="0"/>
      <w:bookmarkEnd w:id="1"/>
    </w:p>
    <w:p w14:paraId="7DC8AF22">
      <w:pPr>
        <w:wordWrap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注册申报资料宜符合国家药品监督管理局《关于公布医疗器械注册申报资料要求和批准证明文件格式的公告》中对注册申报资料的要求，注意以下几方面内容：</w:t>
      </w:r>
    </w:p>
    <w:p w14:paraId="75CC56E4">
      <w:pPr>
        <w:wordWrap w:val="0"/>
        <w:topLinePunct/>
        <w:autoSpaceDE w:val="0"/>
        <w:autoSpaceDN w:val="0"/>
        <w:spacing w:line="520" w:lineRule="exact"/>
        <w:ind w:firstLine="640" w:firstLineChars="200"/>
        <w:outlineLvl w:val="1"/>
        <w:rPr>
          <w:rFonts w:ascii="Times New Roman" w:hAnsi="Times New Roman" w:eastAsia="楷体"/>
          <w:sz w:val="32"/>
          <w:szCs w:val="28"/>
        </w:rPr>
      </w:pPr>
      <w:bookmarkStart w:id="2" w:name="_Toc81253080"/>
      <w:bookmarkStart w:id="3" w:name="_Toc87883061"/>
      <w:r>
        <w:rPr>
          <w:rFonts w:ascii="Times New Roman" w:hAnsi="Times New Roman" w:eastAsia="楷体"/>
          <w:sz w:val="32"/>
          <w:szCs w:val="28"/>
        </w:rPr>
        <w:t>（一）监管信息</w:t>
      </w:r>
      <w:bookmarkEnd w:id="2"/>
      <w:bookmarkEnd w:id="3"/>
    </w:p>
    <w:p w14:paraId="17ABB767">
      <w:pPr>
        <w:wordWrap w:val="0"/>
        <w:topLinePunct/>
        <w:autoSpaceDE w:val="0"/>
        <w:autoSpaceDN w:val="0"/>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1.管理类别</w:t>
      </w:r>
    </w:p>
    <w:p w14:paraId="11DBB11A">
      <w:pPr>
        <w:wordWrap w:val="0"/>
        <w:topLinePunct/>
        <w:autoSpaceDE w:val="0"/>
        <w:autoSpaceDN w:val="0"/>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该类产品在《医疗器械分类目录》中分类编码为</w:t>
      </w:r>
      <w:r>
        <w:rPr>
          <w:rFonts w:ascii="Times New Roman" w:hAnsi="Times New Roman" w:eastAsia="仿宋_GB2312"/>
          <w:bCs/>
          <w:sz w:val="32"/>
          <w:szCs w:val="28"/>
        </w:rPr>
        <w:t>13-09-03</w:t>
      </w:r>
      <w:r>
        <w:rPr>
          <w:rFonts w:ascii="Times New Roman" w:hAnsi="Times New Roman" w:eastAsia="仿宋_GB2312"/>
          <w:sz w:val="32"/>
          <w:szCs w:val="28"/>
        </w:rPr>
        <w:t>。产品的管理类别为三类。</w:t>
      </w:r>
    </w:p>
    <w:p w14:paraId="0ADF436E">
      <w:pPr>
        <w:wordWrap w:val="0"/>
        <w:topLinePunct/>
        <w:autoSpaceDE w:val="0"/>
        <w:autoSpaceDN w:val="0"/>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2.注册单元划分</w:t>
      </w:r>
    </w:p>
    <w:p w14:paraId="51B7545C">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kern w:val="0"/>
          <w:sz w:val="32"/>
          <w:szCs w:val="28"/>
        </w:rPr>
        <w:t>申报产品注册单元划分需依据《医疗器械注册单元划分指导原则》要求，着重</w:t>
      </w:r>
      <w:r>
        <w:rPr>
          <w:rFonts w:ascii="Times New Roman" w:hAnsi="Times New Roman" w:eastAsia="仿宋_GB2312"/>
          <w:sz w:val="32"/>
          <w:szCs w:val="28"/>
        </w:rPr>
        <w:t>考虑产品的技术原理、结构组成、性能指标、适用范围等因素，举例如下：</w:t>
      </w:r>
    </w:p>
    <w:p w14:paraId="42C18A1E">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2.1壳体主要材料由不同化学成分的硅橡胶材料制备，填充物由不同化学成分的硅凝胶材料制备，应划分为不同注册单元。</w:t>
      </w:r>
    </w:p>
    <w:p w14:paraId="4B14160E">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2.2不同的分子量或硫化程度（凝度）的硅橡胶及硅凝胶制备的乳房植入体，应划分为不同注册单元。</w:t>
      </w:r>
    </w:p>
    <w:p w14:paraId="60A033C9">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2.3不同整体结构的产品（如单腔/双腔等）应划分为不同注册单元。</w:t>
      </w:r>
    </w:p>
    <w:p w14:paraId="59CA7258">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2.4不同表面结构（</w:t>
      </w:r>
      <w:bookmarkStart w:id="4" w:name="OLE_LINK1"/>
      <w:r>
        <w:rPr>
          <w:rFonts w:ascii="Times New Roman" w:hAnsi="Times New Roman" w:eastAsia="仿宋_GB2312"/>
          <w:sz w:val="32"/>
          <w:szCs w:val="28"/>
        </w:rPr>
        <w:t>如光面与毛面、不同毛面特征、不同毛面制备工艺等</w:t>
      </w:r>
      <w:bookmarkEnd w:id="4"/>
      <w:r>
        <w:rPr>
          <w:rFonts w:ascii="Times New Roman" w:hAnsi="Times New Roman" w:eastAsia="仿宋_GB2312"/>
          <w:sz w:val="32"/>
          <w:szCs w:val="28"/>
        </w:rPr>
        <w:t>）应划分为不同注册单元。</w:t>
      </w:r>
    </w:p>
    <w:p w14:paraId="49E6A38C">
      <w:pPr>
        <w:wordWrap w:val="0"/>
        <w:topLinePunct/>
        <w:autoSpaceDE w:val="0"/>
        <w:autoSpaceDN w:val="0"/>
        <w:spacing w:line="520" w:lineRule="exact"/>
        <w:ind w:firstLine="640" w:firstLineChars="200"/>
        <w:outlineLvl w:val="1"/>
        <w:rPr>
          <w:rFonts w:ascii="Times New Roman" w:hAnsi="Times New Roman" w:eastAsia="楷体"/>
          <w:sz w:val="32"/>
          <w:szCs w:val="28"/>
        </w:rPr>
      </w:pPr>
      <w:bookmarkStart w:id="5" w:name="_Toc81253081"/>
      <w:r>
        <w:rPr>
          <w:rFonts w:ascii="Times New Roman" w:hAnsi="Times New Roman" w:eastAsia="楷体"/>
          <w:sz w:val="32"/>
          <w:szCs w:val="28"/>
        </w:rPr>
        <w:t>（二）综述资料</w:t>
      </w:r>
      <w:bookmarkEnd w:id="5"/>
    </w:p>
    <w:p w14:paraId="48A0EA29">
      <w:pPr>
        <w:wordWrap w:val="0"/>
        <w:topLinePunct/>
        <w:autoSpaceDE w:val="0"/>
        <w:autoSpaceDN w:val="0"/>
        <w:spacing w:line="52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1.描述产品名称的确定依据。参照《医疗器械通用名称命名规则》《无源植入器械通用名称命名指导原则》等相关文件规范产品特征词，如“硅凝胶填充”等。</w:t>
      </w:r>
    </w:p>
    <w:p w14:paraId="31432DA6">
      <w:pPr>
        <w:wordWrap w:val="0"/>
        <w:topLinePunct/>
        <w:autoSpaceDE w:val="0"/>
        <w:autoSpaceDN w:val="0"/>
        <w:spacing w:line="520" w:lineRule="exact"/>
        <w:ind w:firstLine="640" w:firstLineChars="200"/>
        <w:rPr>
          <w:rFonts w:ascii="Times New Roman" w:hAnsi="Times New Roman" w:eastAsia="仿宋_GB2312"/>
          <w:kern w:val="0"/>
          <w:sz w:val="32"/>
          <w:szCs w:val="28"/>
        </w:rPr>
      </w:pPr>
      <w:r>
        <w:rPr>
          <w:rFonts w:ascii="Times New Roman" w:hAnsi="Times New Roman" w:eastAsia="仿宋_GB2312"/>
          <w:kern w:val="0"/>
          <w:sz w:val="32"/>
          <w:szCs w:val="28"/>
        </w:rPr>
        <w:t>2.描述产品的工作原理、</w:t>
      </w:r>
      <w:r>
        <w:rPr>
          <w:rFonts w:ascii="Times New Roman" w:hAnsi="Times New Roman" w:eastAsia="仿宋_GB2312"/>
          <w:sz w:val="32"/>
          <w:szCs w:val="28"/>
        </w:rPr>
        <w:t>作用机理（如适用）、</w:t>
      </w:r>
      <w:r>
        <w:rPr>
          <w:rFonts w:ascii="Times New Roman" w:hAnsi="Times New Roman" w:eastAsia="仿宋_GB2312"/>
          <w:kern w:val="0"/>
          <w:sz w:val="32"/>
          <w:szCs w:val="28"/>
        </w:rPr>
        <w:t>各部件在产品中的功能、各组件连接方式（如适用）</w:t>
      </w:r>
      <w:r>
        <w:rPr>
          <w:rFonts w:ascii="Times New Roman" w:hAnsi="Times New Roman" w:eastAsia="仿宋_GB2312"/>
          <w:sz w:val="32"/>
          <w:szCs w:val="28"/>
        </w:rPr>
        <w:t>以及区别于其他同类产品的特征等</w:t>
      </w:r>
      <w:r>
        <w:rPr>
          <w:rFonts w:ascii="Times New Roman" w:hAnsi="Times New Roman" w:eastAsia="仿宋_GB2312"/>
          <w:kern w:val="0"/>
          <w:sz w:val="32"/>
          <w:szCs w:val="28"/>
        </w:rPr>
        <w:t>。</w:t>
      </w:r>
    </w:p>
    <w:p w14:paraId="63FB99D9">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3.结构及组成：</w:t>
      </w:r>
    </w:p>
    <w:p w14:paraId="6464FA5F">
      <w:pPr>
        <w:wordWrap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3.1乳房植入体的总体外型及尺寸描述及相应图示：提供外壳表面特征、形状、单腔填充/双腔填充、容积（或可调节）、充盈度、宽度、高度、凸度、壳体厚度（对于双腔的分别标识内外腔）等信息。下表中的容积、宽度、高度、凸度和壳体厚度范围为常见的范围，如果超出该范围或有特殊的设计，需提交相关的风险/收益分析资料。</w:t>
      </w:r>
    </w:p>
    <w:tbl>
      <w:tblPr>
        <w:tblStyle w:val="11"/>
        <w:tblpPr w:leftFromText="180" w:rightFromText="180" w:vertAnchor="text" w:horzAnchor="page" w:tblpXSpec="center" w:tblpY="296"/>
        <w:tblW w:w="8789" w:type="dxa"/>
        <w:tblInd w:w="0" w:type="dxa"/>
        <w:tblLayout w:type="fixed"/>
        <w:tblCellMar>
          <w:top w:w="0" w:type="dxa"/>
          <w:left w:w="40" w:type="dxa"/>
          <w:bottom w:w="0" w:type="dxa"/>
          <w:right w:w="40" w:type="dxa"/>
        </w:tblCellMar>
      </w:tblPr>
      <w:tblGrid>
        <w:gridCol w:w="575"/>
        <w:gridCol w:w="886"/>
        <w:gridCol w:w="598"/>
        <w:gridCol w:w="500"/>
        <w:gridCol w:w="993"/>
        <w:gridCol w:w="992"/>
        <w:gridCol w:w="992"/>
        <w:gridCol w:w="1142"/>
        <w:gridCol w:w="1134"/>
        <w:gridCol w:w="977"/>
      </w:tblGrid>
      <w:tr w14:paraId="60292BA1">
        <w:tblPrEx>
          <w:tblCellMar>
            <w:top w:w="0" w:type="dxa"/>
            <w:left w:w="40" w:type="dxa"/>
            <w:bottom w:w="0" w:type="dxa"/>
            <w:right w:w="40" w:type="dxa"/>
          </w:tblCellMar>
        </w:tblPrEx>
        <w:trPr>
          <w:trHeight w:val="1686" w:hRule="atLeast"/>
        </w:trPr>
        <w:tc>
          <w:tcPr>
            <w:tcW w:w="575" w:type="dxa"/>
            <w:tcBorders>
              <w:top w:val="single" w:color="auto" w:sz="6" w:space="0"/>
              <w:left w:val="single" w:color="auto" w:sz="6" w:space="0"/>
              <w:bottom w:val="single" w:color="auto" w:sz="6" w:space="0"/>
              <w:right w:val="single" w:color="auto" w:sz="4" w:space="0"/>
            </w:tcBorders>
            <w:vAlign w:val="center"/>
          </w:tcPr>
          <w:p w14:paraId="6C858876">
            <w:pPr>
              <w:pStyle w:val="23"/>
              <w:widowControl/>
              <w:spacing w:line="400" w:lineRule="exact"/>
              <w:jc w:val="center"/>
              <w:rPr>
                <w:rStyle w:val="26"/>
                <w:rFonts w:eastAsia="黑体"/>
                <w:b w:val="0"/>
                <w:bCs w:val="0"/>
                <w:kern w:val="2"/>
                <w:sz w:val="28"/>
                <w:szCs w:val="28"/>
              </w:rPr>
            </w:pPr>
            <w:r>
              <w:rPr>
                <w:rStyle w:val="26"/>
                <w:rFonts w:eastAsia="黑体"/>
                <w:b w:val="0"/>
                <w:bCs w:val="0"/>
                <w:sz w:val="28"/>
                <w:szCs w:val="28"/>
              </w:rPr>
              <w:t>型号规格</w:t>
            </w:r>
          </w:p>
        </w:tc>
        <w:tc>
          <w:tcPr>
            <w:tcW w:w="886" w:type="dxa"/>
            <w:tcBorders>
              <w:top w:val="single" w:color="auto" w:sz="6" w:space="0"/>
              <w:left w:val="single" w:color="auto" w:sz="4" w:space="0"/>
              <w:bottom w:val="single" w:color="auto" w:sz="6" w:space="0"/>
              <w:right w:val="single" w:color="auto" w:sz="6" w:space="0"/>
            </w:tcBorders>
            <w:vAlign w:val="center"/>
          </w:tcPr>
          <w:p w14:paraId="6244A33D">
            <w:pPr>
              <w:pStyle w:val="23"/>
              <w:widowControl/>
              <w:spacing w:line="400" w:lineRule="exact"/>
              <w:jc w:val="center"/>
              <w:rPr>
                <w:rStyle w:val="26"/>
                <w:rFonts w:eastAsia="黑体"/>
                <w:b w:val="0"/>
                <w:bCs w:val="0"/>
                <w:sz w:val="28"/>
                <w:szCs w:val="28"/>
              </w:rPr>
            </w:pPr>
            <w:r>
              <w:rPr>
                <w:rStyle w:val="26"/>
                <w:rFonts w:eastAsia="黑体"/>
                <w:b w:val="0"/>
                <w:sz w:val="28"/>
                <w:szCs w:val="28"/>
                <w:lang w:val="zh-CN"/>
              </w:rPr>
              <w:t>外壳表面</w:t>
            </w:r>
            <w:r>
              <w:rPr>
                <w:rStyle w:val="26"/>
                <w:rFonts w:eastAsia="黑体"/>
                <w:b w:val="0"/>
                <w:sz w:val="28"/>
                <w:szCs w:val="28"/>
              </w:rPr>
              <w:t>特征</w:t>
            </w:r>
          </w:p>
        </w:tc>
        <w:tc>
          <w:tcPr>
            <w:tcW w:w="598" w:type="dxa"/>
            <w:tcBorders>
              <w:top w:val="single" w:color="auto" w:sz="6" w:space="0"/>
              <w:left w:val="single" w:color="auto" w:sz="6" w:space="0"/>
              <w:bottom w:val="single" w:color="auto" w:sz="6" w:space="0"/>
              <w:right w:val="single" w:color="auto" w:sz="4" w:space="0"/>
            </w:tcBorders>
            <w:vAlign w:val="center"/>
          </w:tcPr>
          <w:p w14:paraId="3A9751CA">
            <w:pPr>
              <w:spacing w:line="400" w:lineRule="exact"/>
              <w:jc w:val="center"/>
              <w:rPr>
                <w:rFonts w:ascii="Times New Roman" w:hAnsi="Times New Roman" w:eastAsia="黑体"/>
                <w:sz w:val="28"/>
                <w:szCs w:val="28"/>
              </w:rPr>
            </w:pPr>
            <w:r>
              <w:rPr>
                <w:rFonts w:ascii="Times New Roman" w:hAnsi="Times New Roman" w:eastAsia="黑体"/>
                <w:sz w:val="28"/>
                <w:szCs w:val="28"/>
              </w:rPr>
              <w:t>形状</w:t>
            </w:r>
          </w:p>
        </w:tc>
        <w:tc>
          <w:tcPr>
            <w:tcW w:w="500" w:type="dxa"/>
            <w:tcBorders>
              <w:top w:val="single" w:color="auto" w:sz="6" w:space="0"/>
              <w:left w:val="single" w:color="auto" w:sz="4" w:space="0"/>
              <w:bottom w:val="single" w:color="auto" w:sz="6" w:space="0"/>
              <w:right w:val="single" w:color="auto" w:sz="6" w:space="0"/>
            </w:tcBorders>
            <w:vAlign w:val="center"/>
          </w:tcPr>
          <w:p w14:paraId="6934EF29">
            <w:pPr>
              <w:spacing w:line="400" w:lineRule="exact"/>
              <w:jc w:val="center"/>
              <w:rPr>
                <w:rFonts w:ascii="Times New Roman" w:hAnsi="Times New Roman" w:eastAsia="黑体"/>
                <w:sz w:val="28"/>
                <w:szCs w:val="28"/>
              </w:rPr>
            </w:pPr>
            <w:r>
              <w:rPr>
                <w:rFonts w:ascii="Times New Roman" w:hAnsi="Times New Roman" w:eastAsia="黑体"/>
                <w:sz w:val="28"/>
                <w:szCs w:val="28"/>
              </w:rPr>
              <w:t>单腔/双腔</w:t>
            </w:r>
          </w:p>
        </w:tc>
        <w:tc>
          <w:tcPr>
            <w:tcW w:w="993" w:type="dxa"/>
            <w:tcBorders>
              <w:top w:val="single" w:color="auto" w:sz="6" w:space="0"/>
              <w:left w:val="single" w:color="auto" w:sz="6" w:space="0"/>
              <w:bottom w:val="single" w:color="auto" w:sz="6" w:space="0"/>
              <w:right w:val="single" w:color="auto" w:sz="6" w:space="0"/>
            </w:tcBorders>
            <w:vAlign w:val="center"/>
          </w:tcPr>
          <w:p w14:paraId="22D3CCB5">
            <w:pPr>
              <w:pStyle w:val="23"/>
              <w:widowControl/>
              <w:spacing w:line="400" w:lineRule="exact"/>
              <w:jc w:val="center"/>
              <w:rPr>
                <w:rStyle w:val="26"/>
                <w:rFonts w:eastAsia="黑体"/>
                <w:b w:val="0"/>
                <w:kern w:val="2"/>
                <w:sz w:val="28"/>
                <w:szCs w:val="28"/>
                <w:lang w:val="zh-CN"/>
              </w:rPr>
            </w:pPr>
            <w:r>
              <w:rPr>
                <w:rStyle w:val="26"/>
                <w:rFonts w:eastAsia="黑体"/>
                <w:b w:val="0"/>
                <w:sz w:val="28"/>
                <w:szCs w:val="28"/>
                <w:lang w:val="zh-CN"/>
              </w:rPr>
              <w:t>容积</w:t>
            </w:r>
          </w:p>
          <w:p w14:paraId="3517AE2A">
            <w:pPr>
              <w:pStyle w:val="23"/>
              <w:widowControl/>
              <w:spacing w:line="400" w:lineRule="exact"/>
              <w:jc w:val="center"/>
              <w:rPr>
                <w:rStyle w:val="26"/>
                <w:rFonts w:eastAsia="黑体"/>
                <w:b w:val="0"/>
                <w:bCs w:val="0"/>
                <w:sz w:val="28"/>
                <w:szCs w:val="28"/>
              </w:rPr>
            </w:pPr>
            <w:r>
              <w:rPr>
                <w:rStyle w:val="26"/>
                <w:rFonts w:eastAsia="黑体"/>
                <w:b w:val="0"/>
                <w:sz w:val="24"/>
                <w:szCs w:val="28"/>
                <w:lang w:val="zh-CN"/>
              </w:rPr>
              <w:t>（mL）</w:t>
            </w:r>
          </w:p>
        </w:tc>
        <w:tc>
          <w:tcPr>
            <w:tcW w:w="992" w:type="dxa"/>
            <w:tcBorders>
              <w:top w:val="single" w:color="auto" w:sz="6" w:space="0"/>
              <w:left w:val="single" w:color="auto" w:sz="6" w:space="0"/>
              <w:bottom w:val="single" w:color="auto" w:sz="6" w:space="0"/>
              <w:right w:val="single" w:color="auto" w:sz="6" w:space="0"/>
            </w:tcBorders>
            <w:vAlign w:val="center"/>
          </w:tcPr>
          <w:p w14:paraId="5D13D194">
            <w:pPr>
              <w:pStyle w:val="23"/>
              <w:widowControl/>
              <w:spacing w:line="400" w:lineRule="exact"/>
              <w:jc w:val="center"/>
              <w:rPr>
                <w:rStyle w:val="26"/>
                <w:rFonts w:eastAsia="黑体"/>
                <w:b w:val="0"/>
                <w:sz w:val="28"/>
                <w:szCs w:val="28"/>
              </w:rPr>
            </w:pPr>
            <w:r>
              <w:rPr>
                <w:rStyle w:val="26"/>
                <w:rFonts w:eastAsia="黑体"/>
                <w:b w:val="0"/>
                <w:sz w:val="28"/>
                <w:szCs w:val="28"/>
              </w:rPr>
              <w:t>充盈度</w:t>
            </w:r>
          </w:p>
          <w:p w14:paraId="1DA3CA59">
            <w:pPr>
              <w:pStyle w:val="23"/>
              <w:widowControl/>
              <w:spacing w:line="400" w:lineRule="exact"/>
              <w:jc w:val="center"/>
              <w:rPr>
                <w:rStyle w:val="26"/>
                <w:rFonts w:eastAsia="黑体"/>
                <w:b w:val="0"/>
                <w:sz w:val="28"/>
                <w:szCs w:val="28"/>
                <w:lang w:val="zh-CN"/>
              </w:rPr>
            </w:pPr>
            <w:r>
              <w:rPr>
                <w:rStyle w:val="26"/>
                <w:rFonts w:eastAsia="黑体"/>
                <w:b w:val="0"/>
                <w:sz w:val="24"/>
                <w:szCs w:val="28"/>
              </w:rPr>
              <w:t>（%）</w:t>
            </w:r>
          </w:p>
        </w:tc>
        <w:tc>
          <w:tcPr>
            <w:tcW w:w="992" w:type="dxa"/>
            <w:tcBorders>
              <w:top w:val="single" w:color="auto" w:sz="6" w:space="0"/>
              <w:left w:val="single" w:color="auto" w:sz="6" w:space="0"/>
              <w:bottom w:val="single" w:color="auto" w:sz="6" w:space="0"/>
              <w:right w:val="single" w:color="auto" w:sz="6" w:space="0"/>
            </w:tcBorders>
            <w:vAlign w:val="center"/>
          </w:tcPr>
          <w:p w14:paraId="1CE5FF07">
            <w:pPr>
              <w:pStyle w:val="23"/>
              <w:widowControl/>
              <w:spacing w:line="400" w:lineRule="exact"/>
              <w:jc w:val="center"/>
              <w:rPr>
                <w:rStyle w:val="26"/>
                <w:rFonts w:eastAsia="黑体"/>
                <w:b w:val="0"/>
                <w:sz w:val="28"/>
                <w:szCs w:val="28"/>
                <w:lang w:val="zh-CN"/>
              </w:rPr>
            </w:pPr>
            <w:r>
              <w:rPr>
                <w:rStyle w:val="26"/>
                <w:rFonts w:eastAsia="黑体"/>
                <w:b w:val="0"/>
                <w:sz w:val="28"/>
                <w:szCs w:val="28"/>
                <w:lang w:val="zh-CN"/>
              </w:rPr>
              <w:t>宽度</w:t>
            </w:r>
          </w:p>
          <w:p w14:paraId="08828EF5">
            <w:pPr>
              <w:pStyle w:val="23"/>
              <w:widowControl/>
              <w:spacing w:line="400" w:lineRule="exact"/>
              <w:jc w:val="center"/>
              <w:rPr>
                <w:rStyle w:val="26"/>
                <w:rFonts w:eastAsia="黑体"/>
                <w:b w:val="0"/>
                <w:bCs w:val="0"/>
                <w:sz w:val="28"/>
                <w:szCs w:val="28"/>
              </w:rPr>
            </w:pPr>
            <w:r>
              <w:rPr>
                <w:rStyle w:val="26"/>
                <w:rFonts w:eastAsia="黑体"/>
                <w:b w:val="0"/>
                <w:sz w:val="24"/>
                <w:szCs w:val="28"/>
                <w:lang w:val="zh-CN"/>
              </w:rPr>
              <w:t>（mm）</w:t>
            </w:r>
          </w:p>
        </w:tc>
        <w:tc>
          <w:tcPr>
            <w:tcW w:w="1142" w:type="dxa"/>
            <w:tcBorders>
              <w:top w:val="single" w:color="auto" w:sz="6" w:space="0"/>
              <w:left w:val="single" w:color="auto" w:sz="6" w:space="0"/>
              <w:bottom w:val="single" w:color="auto" w:sz="6" w:space="0"/>
              <w:right w:val="single" w:color="auto" w:sz="6" w:space="0"/>
            </w:tcBorders>
            <w:vAlign w:val="center"/>
          </w:tcPr>
          <w:p w14:paraId="3730808F">
            <w:pPr>
              <w:pStyle w:val="23"/>
              <w:widowControl/>
              <w:spacing w:line="400" w:lineRule="exact"/>
              <w:jc w:val="center"/>
              <w:rPr>
                <w:rStyle w:val="26"/>
                <w:rFonts w:eastAsia="黑体"/>
                <w:b w:val="0"/>
                <w:sz w:val="28"/>
                <w:szCs w:val="28"/>
                <w:lang w:val="zh-CN"/>
              </w:rPr>
            </w:pPr>
            <w:r>
              <w:rPr>
                <w:rStyle w:val="26"/>
                <w:rFonts w:eastAsia="黑体"/>
                <w:b w:val="0"/>
                <w:sz w:val="28"/>
                <w:szCs w:val="28"/>
                <w:lang w:val="zh-CN"/>
              </w:rPr>
              <w:t>高度</w:t>
            </w:r>
          </w:p>
          <w:p w14:paraId="21E26988">
            <w:pPr>
              <w:pStyle w:val="23"/>
              <w:widowControl/>
              <w:spacing w:line="400" w:lineRule="exact"/>
              <w:jc w:val="center"/>
              <w:rPr>
                <w:rStyle w:val="26"/>
                <w:rFonts w:eastAsia="黑体"/>
                <w:b w:val="0"/>
                <w:bCs w:val="0"/>
                <w:sz w:val="28"/>
                <w:szCs w:val="28"/>
              </w:rPr>
            </w:pPr>
            <w:r>
              <w:rPr>
                <w:rStyle w:val="26"/>
                <w:rFonts w:eastAsia="黑体"/>
                <w:b w:val="0"/>
                <w:sz w:val="24"/>
                <w:szCs w:val="28"/>
                <w:lang w:val="zh-CN"/>
              </w:rPr>
              <w:t>（mm）</w:t>
            </w:r>
          </w:p>
        </w:tc>
        <w:tc>
          <w:tcPr>
            <w:tcW w:w="1134" w:type="dxa"/>
            <w:tcBorders>
              <w:top w:val="single" w:color="auto" w:sz="6" w:space="0"/>
              <w:left w:val="single" w:color="auto" w:sz="6" w:space="0"/>
              <w:bottom w:val="single" w:color="auto" w:sz="6" w:space="0"/>
              <w:right w:val="single" w:color="auto" w:sz="6" w:space="0"/>
            </w:tcBorders>
            <w:vAlign w:val="center"/>
          </w:tcPr>
          <w:p w14:paraId="412AAD6D">
            <w:pPr>
              <w:pStyle w:val="23"/>
              <w:widowControl/>
              <w:spacing w:line="400" w:lineRule="exact"/>
              <w:jc w:val="center"/>
              <w:rPr>
                <w:rStyle w:val="26"/>
                <w:rFonts w:eastAsia="黑体"/>
                <w:b w:val="0"/>
                <w:bCs w:val="0"/>
                <w:sz w:val="28"/>
                <w:szCs w:val="28"/>
              </w:rPr>
            </w:pPr>
            <w:r>
              <w:rPr>
                <w:rStyle w:val="26"/>
                <w:rFonts w:eastAsia="黑体"/>
                <w:b w:val="0"/>
                <w:sz w:val="28"/>
                <w:szCs w:val="28"/>
                <w:lang w:val="zh-CN"/>
              </w:rPr>
              <w:t>凸度</w:t>
            </w:r>
            <w:r>
              <w:rPr>
                <w:rStyle w:val="26"/>
                <w:rFonts w:eastAsia="黑体"/>
                <w:b w:val="0"/>
                <w:sz w:val="24"/>
                <w:szCs w:val="28"/>
              </w:rPr>
              <w:t>（mm）</w:t>
            </w:r>
          </w:p>
        </w:tc>
        <w:tc>
          <w:tcPr>
            <w:tcW w:w="977" w:type="dxa"/>
            <w:tcBorders>
              <w:top w:val="single" w:color="auto" w:sz="6" w:space="0"/>
              <w:left w:val="single" w:color="auto" w:sz="6" w:space="0"/>
              <w:bottom w:val="single" w:color="auto" w:sz="6" w:space="0"/>
              <w:right w:val="single" w:color="auto" w:sz="6" w:space="0"/>
            </w:tcBorders>
            <w:vAlign w:val="center"/>
          </w:tcPr>
          <w:p w14:paraId="1D6DBD41">
            <w:pPr>
              <w:pStyle w:val="23"/>
              <w:widowControl/>
              <w:spacing w:line="400" w:lineRule="exact"/>
              <w:jc w:val="center"/>
              <w:rPr>
                <w:rStyle w:val="26"/>
                <w:rFonts w:eastAsia="黑体"/>
                <w:b w:val="0"/>
                <w:sz w:val="28"/>
                <w:szCs w:val="28"/>
                <w:lang w:val="zh-CN"/>
              </w:rPr>
            </w:pPr>
            <w:r>
              <w:rPr>
                <w:rStyle w:val="26"/>
                <w:rFonts w:eastAsia="黑体"/>
                <w:b w:val="0"/>
                <w:sz w:val="28"/>
                <w:szCs w:val="28"/>
                <w:lang w:val="zh-CN"/>
              </w:rPr>
              <w:t>壳体</w:t>
            </w:r>
          </w:p>
          <w:p w14:paraId="060FC0EB">
            <w:pPr>
              <w:pStyle w:val="23"/>
              <w:widowControl/>
              <w:spacing w:line="400" w:lineRule="exact"/>
              <w:jc w:val="center"/>
              <w:rPr>
                <w:rStyle w:val="26"/>
                <w:rFonts w:eastAsia="黑体"/>
                <w:b w:val="0"/>
                <w:bCs w:val="0"/>
                <w:sz w:val="28"/>
                <w:szCs w:val="28"/>
              </w:rPr>
            </w:pPr>
            <w:r>
              <w:rPr>
                <w:rStyle w:val="26"/>
                <w:rFonts w:eastAsia="黑体"/>
                <w:b w:val="0"/>
                <w:sz w:val="28"/>
                <w:szCs w:val="28"/>
                <w:lang w:val="zh-CN"/>
              </w:rPr>
              <w:t>厚度</w:t>
            </w:r>
            <w:r>
              <w:rPr>
                <w:rStyle w:val="26"/>
                <w:rFonts w:eastAsia="黑体"/>
                <w:b w:val="0"/>
                <w:sz w:val="24"/>
                <w:szCs w:val="28"/>
                <w:lang w:val="zh-CN"/>
              </w:rPr>
              <w:t>（mm）</w:t>
            </w:r>
          </w:p>
        </w:tc>
      </w:tr>
      <w:tr w14:paraId="36568F21">
        <w:tblPrEx>
          <w:tblCellMar>
            <w:top w:w="0" w:type="dxa"/>
            <w:left w:w="40" w:type="dxa"/>
            <w:bottom w:w="0" w:type="dxa"/>
            <w:right w:w="40" w:type="dxa"/>
          </w:tblCellMar>
        </w:tblPrEx>
        <w:trPr>
          <w:trHeight w:val="282" w:hRule="atLeast"/>
        </w:trPr>
        <w:tc>
          <w:tcPr>
            <w:tcW w:w="575" w:type="dxa"/>
            <w:tcBorders>
              <w:top w:val="single" w:color="auto" w:sz="6" w:space="0"/>
              <w:left w:val="single" w:color="auto" w:sz="6" w:space="0"/>
              <w:bottom w:val="single" w:color="auto" w:sz="6" w:space="0"/>
              <w:right w:val="single" w:color="auto" w:sz="4" w:space="0"/>
            </w:tcBorders>
            <w:vAlign w:val="center"/>
          </w:tcPr>
          <w:p w14:paraId="2E4669C1">
            <w:pPr>
              <w:pStyle w:val="24"/>
              <w:widowControl/>
              <w:spacing w:line="400" w:lineRule="exact"/>
              <w:jc w:val="center"/>
              <w:rPr>
                <w:rStyle w:val="25"/>
                <w:rFonts w:eastAsia="仿宋_GB2312"/>
                <w:sz w:val="28"/>
                <w:szCs w:val="28"/>
              </w:rPr>
            </w:pPr>
            <w:r>
              <w:rPr>
                <w:rStyle w:val="25"/>
                <w:rFonts w:eastAsia="仿宋_GB2312"/>
                <w:sz w:val="28"/>
                <w:szCs w:val="28"/>
              </w:rPr>
              <w:t>XXX</w:t>
            </w:r>
          </w:p>
        </w:tc>
        <w:tc>
          <w:tcPr>
            <w:tcW w:w="886" w:type="dxa"/>
            <w:tcBorders>
              <w:top w:val="single" w:color="auto" w:sz="6" w:space="0"/>
              <w:left w:val="single" w:color="auto" w:sz="4" w:space="0"/>
              <w:bottom w:val="single" w:color="auto" w:sz="6" w:space="0"/>
              <w:right w:val="single" w:color="auto" w:sz="6" w:space="0"/>
            </w:tcBorders>
            <w:vAlign w:val="center"/>
          </w:tcPr>
          <w:p w14:paraId="79C9BC86">
            <w:pPr>
              <w:pStyle w:val="24"/>
              <w:widowControl/>
              <w:spacing w:line="400" w:lineRule="exact"/>
              <w:jc w:val="center"/>
              <w:rPr>
                <w:rStyle w:val="25"/>
                <w:rFonts w:eastAsia="仿宋_GB2312"/>
                <w:sz w:val="28"/>
                <w:szCs w:val="28"/>
              </w:rPr>
            </w:pPr>
            <w:r>
              <w:rPr>
                <w:rStyle w:val="25"/>
                <w:rFonts w:eastAsia="仿宋_GB2312"/>
                <w:sz w:val="28"/>
                <w:szCs w:val="28"/>
                <w:lang w:val="zh-CN"/>
              </w:rPr>
              <w:t>光</w:t>
            </w:r>
            <w:r>
              <w:rPr>
                <w:rStyle w:val="25"/>
                <w:rFonts w:eastAsia="仿宋_GB2312"/>
                <w:sz w:val="28"/>
                <w:szCs w:val="28"/>
              </w:rPr>
              <w:t>面</w:t>
            </w:r>
          </w:p>
        </w:tc>
        <w:tc>
          <w:tcPr>
            <w:tcW w:w="598" w:type="dxa"/>
            <w:tcBorders>
              <w:top w:val="single" w:color="auto" w:sz="6" w:space="0"/>
              <w:left w:val="single" w:color="auto" w:sz="6" w:space="0"/>
              <w:bottom w:val="single" w:color="auto" w:sz="6" w:space="0"/>
              <w:right w:val="single" w:color="auto" w:sz="4" w:space="0"/>
            </w:tcBorders>
            <w:vAlign w:val="center"/>
          </w:tcPr>
          <w:p w14:paraId="59A42193">
            <w:pPr>
              <w:pStyle w:val="24"/>
              <w:widowControl/>
              <w:spacing w:line="400" w:lineRule="exact"/>
              <w:jc w:val="center"/>
              <w:rPr>
                <w:rStyle w:val="25"/>
                <w:rFonts w:eastAsia="仿宋_GB2312"/>
                <w:spacing w:val="-6"/>
                <w:sz w:val="28"/>
                <w:szCs w:val="28"/>
              </w:rPr>
            </w:pPr>
            <w:r>
              <w:rPr>
                <w:rStyle w:val="25"/>
                <w:rFonts w:eastAsia="仿宋_GB2312"/>
                <w:spacing w:val="-6"/>
                <w:sz w:val="28"/>
                <w:szCs w:val="28"/>
                <w:lang w:val="zh-CN"/>
              </w:rPr>
              <w:t>圆形</w:t>
            </w:r>
          </w:p>
        </w:tc>
        <w:tc>
          <w:tcPr>
            <w:tcW w:w="500" w:type="dxa"/>
            <w:tcBorders>
              <w:top w:val="single" w:color="auto" w:sz="6" w:space="0"/>
              <w:left w:val="single" w:color="auto" w:sz="4" w:space="0"/>
              <w:bottom w:val="single" w:color="auto" w:sz="6" w:space="0"/>
              <w:right w:val="single" w:color="auto" w:sz="6" w:space="0"/>
            </w:tcBorders>
            <w:vAlign w:val="center"/>
          </w:tcPr>
          <w:p w14:paraId="06C54189">
            <w:pPr>
              <w:pStyle w:val="24"/>
              <w:widowControl/>
              <w:spacing w:line="400" w:lineRule="exact"/>
              <w:jc w:val="center"/>
              <w:rPr>
                <w:rStyle w:val="25"/>
                <w:rFonts w:eastAsia="仿宋_GB2312"/>
                <w:sz w:val="28"/>
                <w:szCs w:val="28"/>
              </w:rPr>
            </w:pPr>
            <w:r>
              <w:rPr>
                <w:rStyle w:val="25"/>
                <w:rFonts w:eastAsia="仿宋_GB2312"/>
                <w:sz w:val="28"/>
                <w:szCs w:val="28"/>
              </w:rPr>
              <w:t>单腔</w:t>
            </w:r>
          </w:p>
        </w:tc>
        <w:tc>
          <w:tcPr>
            <w:tcW w:w="993" w:type="dxa"/>
            <w:tcBorders>
              <w:top w:val="single" w:color="auto" w:sz="6" w:space="0"/>
              <w:left w:val="single" w:color="auto" w:sz="6" w:space="0"/>
              <w:bottom w:val="single" w:color="auto" w:sz="6" w:space="0"/>
              <w:right w:val="single" w:color="auto" w:sz="6" w:space="0"/>
            </w:tcBorders>
            <w:vAlign w:val="center"/>
          </w:tcPr>
          <w:p w14:paraId="0BBD21FE">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60-800</w:t>
            </w:r>
          </w:p>
        </w:tc>
        <w:tc>
          <w:tcPr>
            <w:tcW w:w="992" w:type="dxa"/>
            <w:tcBorders>
              <w:top w:val="single" w:color="auto" w:sz="6" w:space="0"/>
              <w:left w:val="single" w:color="auto" w:sz="6" w:space="0"/>
              <w:bottom w:val="single" w:color="auto" w:sz="6" w:space="0"/>
              <w:right w:val="single" w:color="auto" w:sz="6" w:space="0"/>
            </w:tcBorders>
            <w:vAlign w:val="center"/>
          </w:tcPr>
          <w:p w14:paraId="08BFD8F2">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w:t>
            </w:r>
          </w:p>
        </w:tc>
        <w:tc>
          <w:tcPr>
            <w:tcW w:w="992" w:type="dxa"/>
            <w:tcBorders>
              <w:top w:val="single" w:color="auto" w:sz="6" w:space="0"/>
              <w:left w:val="single" w:color="auto" w:sz="6" w:space="0"/>
              <w:bottom w:val="single" w:color="auto" w:sz="6" w:space="0"/>
              <w:right w:val="single" w:color="auto" w:sz="6" w:space="0"/>
            </w:tcBorders>
            <w:vAlign w:val="center"/>
          </w:tcPr>
          <w:p w14:paraId="7670D62C">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60-172</w:t>
            </w:r>
          </w:p>
        </w:tc>
        <w:tc>
          <w:tcPr>
            <w:tcW w:w="1142" w:type="dxa"/>
            <w:tcBorders>
              <w:top w:val="single" w:color="auto" w:sz="6" w:space="0"/>
              <w:left w:val="single" w:color="auto" w:sz="6" w:space="0"/>
              <w:bottom w:val="single" w:color="auto" w:sz="6" w:space="0"/>
              <w:right w:val="single" w:color="auto" w:sz="6" w:space="0"/>
            </w:tcBorders>
            <w:vAlign w:val="center"/>
          </w:tcPr>
          <w:p w14:paraId="09F40243">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60-172</w:t>
            </w:r>
          </w:p>
        </w:tc>
        <w:tc>
          <w:tcPr>
            <w:tcW w:w="1134" w:type="dxa"/>
            <w:tcBorders>
              <w:top w:val="single" w:color="auto" w:sz="6" w:space="0"/>
              <w:left w:val="single" w:color="auto" w:sz="6" w:space="0"/>
              <w:bottom w:val="single" w:color="auto" w:sz="6" w:space="0"/>
              <w:right w:val="single" w:color="auto" w:sz="6" w:space="0"/>
            </w:tcBorders>
            <w:vAlign w:val="center"/>
          </w:tcPr>
          <w:p w14:paraId="09378EEB">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12-75</w:t>
            </w:r>
          </w:p>
        </w:tc>
        <w:tc>
          <w:tcPr>
            <w:tcW w:w="977" w:type="dxa"/>
            <w:tcBorders>
              <w:top w:val="single" w:color="auto" w:sz="6" w:space="0"/>
              <w:left w:val="single" w:color="auto" w:sz="6" w:space="0"/>
              <w:bottom w:val="single" w:color="auto" w:sz="6" w:space="0"/>
              <w:right w:val="single" w:color="auto" w:sz="6" w:space="0"/>
            </w:tcBorders>
            <w:vAlign w:val="center"/>
          </w:tcPr>
          <w:p w14:paraId="0C412F18">
            <w:pPr>
              <w:widowControl/>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0.23-1.02</w:t>
            </w:r>
          </w:p>
        </w:tc>
      </w:tr>
      <w:tr w14:paraId="5F1E881B">
        <w:tblPrEx>
          <w:tblCellMar>
            <w:top w:w="0" w:type="dxa"/>
            <w:left w:w="40" w:type="dxa"/>
            <w:bottom w:w="0" w:type="dxa"/>
            <w:right w:w="40" w:type="dxa"/>
          </w:tblCellMar>
        </w:tblPrEx>
        <w:trPr>
          <w:trHeight w:val="146" w:hRule="atLeast"/>
        </w:trPr>
        <w:tc>
          <w:tcPr>
            <w:tcW w:w="575" w:type="dxa"/>
            <w:tcBorders>
              <w:top w:val="single" w:color="auto" w:sz="6" w:space="0"/>
              <w:left w:val="single" w:color="auto" w:sz="6" w:space="0"/>
              <w:bottom w:val="single" w:color="auto" w:sz="6" w:space="0"/>
              <w:right w:val="single" w:color="auto" w:sz="4" w:space="0"/>
            </w:tcBorders>
            <w:vAlign w:val="center"/>
          </w:tcPr>
          <w:p w14:paraId="0433235A">
            <w:pPr>
              <w:pStyle w:val="24"/>
              <w:widowControl/>
              <w:spacing w:line="400" w:lineRule="exact"/>
              <w:jc w:val="center"/>
              <w:rPr>
                <w:rStyle w:val="25"/>
                <w:rFonts w:eastAsia="仿宋_GB2312"/>
                <w:sz w:val="28"/>
                <w:szCs w:val="28"/>
              </w:rPr>
            </w:pPr>
          </w:p>
        </w:tc>
        <w:tc>
          <w:tcPr>
            <w:tcW w:w="886" w:type="dxa"/>
            <w:tcBorders>
              <w:top w:val="single" w:color="auto" w:sz="6" w:space="0"/>
              <w:left w:val="single" w:color="auto" w:sz="4" w:space="0"/>
              <w:bottom w:val="single" w:color="auto" w:sz="6" w:space="0"/>
              <w:right w:val="single" w:color="auto" w:sz="6" w:space="0"/>
            </w:tcBorders>
            <w:vAlign w:val="center"/>
          </w:tcPr>
          <w:p w14:paraId="5B3F2E90">
            <w:pPr>
              <w:pStyle w:val="24"/>
              <w:widowControl/>
              <w:spacing w:line="400" w:lineRule="exact"/>
              <w:jc w:val="center"/>
              <w:rPr>
                <w:rStyle w:val="25"/>
                <w:rFonts w:eastAsia="仿宋_GB2312"/>
                <w:sz w:val="28"/>
                <w:szCs w:val="28"/>
              </w:rPr>
            </w:pPr>
          </w:p>
        </w:tc>
        <w:tc>
          <w:tcPr>
            <w:tcW w:w="598" w:type="dxa"/>
            <w:tcBorders>
              <w:top w:val="single" w:color="auto" w:sz="6" w:space="0"/>
              <w:left w:val="single" w:color="auto" w:sz="6" w:space="0"/>
              <w:bottom w:val="single" w:color="auto" w:sz="6" w:space="0"/>
              <w:right w:val="single" w:color="auto" w:sz="4" w:space="0"/>
            </w:tcBorders>
            <w:vAlign w:val="center"/>
          </w:tcPr>
          <w:p w14:paraId="42146E07">
            <w:pPr>
              <w:pStyle w:val="24"/>
              <w:widowControl/>
              <w:spacing w:line="400" w:lineRule="exact"/>
              <w:jc w:val="center"/>
              <w:rPr>
                <w:rStyle w:val="25"/>
                <w:rFonts w:eastAsia="仿宋_GB2312"/>
                <w:sz w:val="28"/>
                <w:szCs w:val="28"/>
              </w:rPr>
            </w:pPr>
          </w:p>
        </w:tc>
        <w:tc>
          <w:tcPr>
            <w:tcW w:w="500" w:type="dxa"/>
            <w:tcBorders>
              <w:top w:val="single" w:color="auto" w:sz="6" w:space="0"/>
              <w:left w:val="single" w:color="auto" w:sz="4" w:space="0"/>
              <w:bottom w:val="single" w:color="auto" w:sz="6" w:space="0"/>
              <w:right w:val="single" w:color="auto" w:sz="6" w:space="0"/>
            </w:tcBorders>
            <w:vAlign w:val="center"/>
          </w:tcPr>
          <w:p w14:paraId="58F55C26">
            <w:pPr>
              <w:pStyle w:val="24"/>
              <w:widowControl/>
              <w:spacing w:line="400" w:lineRule="exact"/>
              <w:jc w:val="center"/>
              <w:rPr>
                <w:rStyle w:val="25"/>
                <w:rFonts w:eastAsia="仿宋_GB2312"/>
                <w:sz w:val="28"/>
                <w:szCs w:val="28"/>
              </w:rPr>
            </w:pPr>
          </w:p>
        </w:tc>
        <w:tc>
          <w:tcPr>
            <w:tcW w:w="993" w:type="dxa"/>
            <w:tcBorders>
              <w:top w:val="single" w:color="auto" w:sz="6" w:space="0"/>
              <w:left w:val="single" w:color="auto" w:sz="6" w:space="0"/>
              <w:bottom w:val="single" w:color="auto" w:sz="6" w:space="0"/>
              <w:right w:val="single" w:color="auto" w:sz="6" w:space="0"/>
            </w:tcBorders>
            <w:vAlign w:val="center"/>
          </w:tcPr>
          <w:p w14:paraId="7673BDB0">
            <w:pPr>
              <w:widowControl/>
              <w:spacing w:line="400" w:lineRule="exact"/>
              <w:jc w:val="center"/>
              <w:rPr>
                <w:rFonts w:ascii="Times New Roman" w:hAnsi="Times New Roman" w:eastAsia="仿宋_GB2312"/>
                <w:kern w:val="0"/>
                <w:sz w:val="28"/>
                <w:szCs w:val="28"/>
              </w:rPr>
            </w:pPr>
          </w:p>
        </w:tc>
        <w:tc>
          <w:tcPr>
            <w:tcW w:w="992" w:type="dxa"/>
            <w:tcBorders>
              <w:top w:val="single" w:color="auto" w:sz="6" w:space="0"/>
              <w:left w:val="single" w:color="auto" w:sz="6" w:space="0"/>
              <w:bottom w:val="single" w:color="auto" w:sz="6" w:space="0"/>
              <w:right w:val="single" w:color="auto" w:sz="6" w:space="0"/>
            </w:tcBorders>
            <w:vAlign w:val="center"/>
          </w:tcPr>
          <w:p w14:paraId="11F64DDD">
            <w:pPr>
              <w:widowControl/>
              <w:spacing w:line="400" w:lineRule="exact"/>
              <w:jc w:val="center"/>
              <w:rPr>
                <w:rFonts w:ascii="Times New Roman" w:hAnsi="Times New Roman" w:eastAsia="仿宋_GB2312"/>
                <w:kern w:val="0"/>
                <w:sz w:val="28"/>
                <w:szCs w:val="28"/>
              </w:rPr>
            </w:pPr>
          </w:p>
        </w:tc>
        <w:tc>
          <w:tcPr>
            <w:tcW w:w="992" w:type="dxa"/>
            <w:tcBorders>
              <w:top w:val="single" w:color="auto" w:sz="6" w:space="0"/>
              <w:left w:val="single" w:color="auto" w:sz="6" w:space="0"/>
              <w:bottom w:val="single" w:color="auto" w:sz="6" w:space="0"/>
              <w:right w:val="single" w:color="auto" w:sz="6" w:space="0"/>
            </w:tcBorders>
            <w:vAlign w:val="center"/>
          </w:tcPr>
          <w:p w14:paraId="37524AB3">
            <w:pPr>
              <w:widowControl/>
              <w:spacing w:line="400" w:lineRule="exact"/>
              <w:jc w:val="center"/>
              <w:rPr>
                <w:rFonts w:ascii="Times New Roman" w:hAnsi="Times New Roman" w:eastAsia="仿宋_GB2312"/>
                <w:kern w:val="0"/>
                <w:sz w:val="28"/>
                <w:szCs w:val="28"/>
              </w:rPr>
            </w:pPr>
          </w:p>
        </w:tc>
        <w:tc>
          <w:tcPr>
            <w:tcW w:w="1142" w:type="dxa"/>
            <w:tcBorders>
              <w:top w:val="single" w:color="auto" w:sz="6" w:space="0"/>
              <w:left w:val="single" w:color="auto" w:sz="6" w:space="0"/>
              <w:bottom w:val="single" w:color="auto" w:sz="6" w:space="0"/>
              <w:right w:val="single" w:color="auto" w:sz="6" w:space="0"/>
            </w:tcBorders>
            <w:vAlign w:val="center"/>
          </w:tcPr>
          <w:p w14:paraId="26F403EA">
            <w:pPr>
              <w:widowControl/>
              <w:spacing w:line="400" w:lineRule="exact"/>
              <w:jc w:val="center"/>
              <w:rPr>
                <w:rFonts w:ascii="Times New Roman" w:hAnsi="Times New Roman" w:eastAsia="仿宋_GB2312"/>
                <w:kern w:val="0"/>
                <w:sz w:val="28"/>
                <w:szCs w:val="28"/>
              </w:rPr>
            </w:pPr>
          </w:p>
        </w:tc>
        <w:tc>
          <w:tcPr>
            <w:tcW w:w="1134" w:type="dxa"/>
            <w:tcBorders>
              <w:top w:val="single" w:color="auto" w:sz="6" w:space="0"/>
              <w:left w:val="single" w:color="auto" w:sz="6" w:space="0"/>
              <w:bottom w:val="single" w:color="auto" w:sz="6" w:space="0"/>
              <w:right w:val="single" w:color="auto" w:sz="6" w:space="0"/>
            </w:tcBorders>
            <w:vAlign w:val="center"/>
          </w:tcPr>
          <w:p w14:paraId="700099D1">
            <w:pPr>
              <w:widowControl/>
              <w:spacing w:line="400" w:lineRule="exact"/>
              <w:jc w:val="center"/>
              <w:rPr>
                <w:rFonts w:ascii="Times New Roman" w:hAnsi="Times New Roman" w:eastAsia="仿宋_GB2312"/>
                <w:kern w:val="0"/>
                <w:sz w:val="28"/>
                <w:szCs w:val="28"/>
              </w:rPr>
            </w:pPr>
          </w:p>
        </w:tc>
        <w:tc>
          <w:tcPr>
            <w:tcW w:w="977" w:type="dxa"/>
            <w:tcBorders>
              <w:top w:val="single" w:color="auto" w:sz="6" w:space="0"/>
              <w:left w:val="single" w:color="auto" w:sz="6" w:space="0"/>
              <w:bottom w:val="single" w:color="auto" w:sz="6" w:space="0"/>
              <w:right w:val="single" w:color="auto" w:sz="6" w:space="0"/>
            </w:tcBorders>
            <w:vAlign w:val="center"/>
          </w:tcPr>
          <w:p w14:paraId="63FB4F47">
            <w:pPr>
              <w:widowControl/>
              <w:spacing w:line="400" w:lineRule="exact"/>
              <w:jc w:val="center"/>
              <w:rPr>
                <w:rFonts w:ascii="Times New Roman" w:hAnsi="Times New Roman" w:eastAsia="仿宋_GB2312"/>
                <w:kern w:val="0"/>
                <w:sz w:val="28"/>
                <w:szCs w:val="28"/>
              </w:rPr>
            </w:pPr>
          </w:p>
        </w:tc>
      </w:tr>
    </w:tbl>
    <w:p w14:paraId="36DE895A">
      <w:pPr>
        <w:kinsoku w:val="0"/>
        <w:wordWrap w:val="0"/>
        <w:overflowPunct w:val="0"/>
        <w:topLinePunct/>
        <w:autoSpaceDE w:val="0"/>
        <w:autoSpaceDN w:val="0"/>
        <w:spacing w:line="520" w:lineRule="exact"/>
        <w:ind w:firstLine="560" w:firstLineChars="200"/>
        <w:rPr>
          <w:rFonts w:ascii="Times New Roman" w:hAnsi="Times New Roman" w:eastAsia="仿宋_GB2312"/>
          <w:sz w:val="32"/>
          <w:szCs w:val="28"/>
        </w:rPr>
      </w:pPr>
      <w:r>
        <w:rPr>
          <w:rFonts w:ascii="Times New Roman" w:hAnsi="Times New Roman" w:eastAsia="仿宋_GB2312"/>
          <w:sz w:val="28"/>
          <w:szCs w:val="28"/>
        </w:rPr>
        <w:drawing>
          <wp:anchor distT="0" distB="0" distL="114300" distR="114300" simplePos="0" relativeHeight="251659264" behindDoc="0" locked="0" layoutInCell="1" allowOverlap="1">
            <wp:simplePos x="0" y="0"/>
            <wp:positionH relativeFrom="margin">
              <wp:posOffset>1017905</wp:posOffset>
            </wp:positionH>
            <wp:positionV relativeFrom="margin">
              <wp:align>top</wp:align>
            </wp:positionV>
            <wp:extent cx="3189605" cy="206629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89605" cy="2066290"/>
                    </a:xfrm>
                    <a:prstGeom prst="rect">
                      <a:avLst/>
                    </a:prstGeom>
                    <a:noFill/>
                    <a:ln>
                      <a:noFill/>
                    </a:ln>
                    <a:effectLst/>
                  </pic:spPr>
                </pic:pic>
              </a:graphicData>
            </a:graphic>
          </wp:anchor>
        </w:drawing>
      </w:r>
      <w:r>
        <w:rPr>
          <w:rFonts w:ascii="Times New Roman" w:hAnsi="Times New Roman" w:eastAsia="仿宋_GB2312"/>
          <w:sz w:val="32"/>
          <w:szCs w:val="28"/>
        </w:rPr>
        <w:t>3.2乳房植入体每一组成部分的描述及相应图示（例如壳体、凝胶、表面结构、阀门、联接附件、填充管、注射件、微应答器等）。</w:t>
      </w:r>
    </w:p>
    <w:p w14:paraId="0EBA79EC">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4.各组成部分的材料</w:t>
      </w:r>
    </w:p>
    <w:p w14:paraId="0A2115A7">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4.1明确乳房植入体各组成部分的所有组成材料的基本信息，对于硅橡胶（硅凝胶），明确原材料、添加助剂及终产品材质的相关信息，明确所采用的硫化形式（如双组分加成硫化、热硫化等）。应提交硅橡胶、硅凝胶符合长期植入要求的支持性资料，填充的生理盐水应符合中国药典对注射用生理盐水要求，对于其他植入人体的各种材料应提供可用于人体的支持性资料。</w:t>
      </w:r>
    </w:p>
    <w:p w14:paraId="3325D5BF">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4.2若原材料外购，需明确原材料供应商，提交原材料的质控标准及检测报告。如适用，注册申请人可提交主文档授权信，并对主文档引用的情况进行说明。若原材料为自行合成，需阐述原材料的质量控制标准并提交相关的检测报告。用于制备产品的硅橡胶材料应符合YY/T 0334《硅橡胶外科植入物通用要求》、YY/T 0647《无源外科植入物 乳房植入物的专用要求》的规定。固化后硅橡胶材料的力学性能包括扯断伸长率、断裂拉伸强度、100%伸长模量、硬度、相对密度或比重、撕裂强度等。</w:t>
      </w:r>
    </w:p>
    <w:p w14:paraId="1937232A">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明确原材料所采用的硫化形式（如双组分加成硫化、热硫化等）。对于采用双组分加成硫化的硅橡胶乳房植入体产品，应提供原材料符合YY/T 0484《外科植入物双组分加成型硫化硅橡胶》的验证资料。</w:t>
      </w:r>
    </w:p>
    <w:p w14:paraId="613330D4">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4.3若采用其他材料作为填充物，这些材料应尽量使用已经在国内批准植入人体的材料，否则应提供其适合植入人体的支持性资料。</w:t>
      </w:r>
    </w:p>
    <w:p w14:paraId="42452EA8">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5.明确产品型号规格的表述方式、划分依据以及各型号规格间的异同点，可采用图片、图表等形式对不同型号规格产品的结构组成、产品特征等加以描述。</w:t>
      </w:r>
    </w:p>
    <w:p w14:paraId="22E8423B">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应提供乳房植入体生产过程中使用到的每一种化学物质（包括交联剂、抗氧化剂、脱模剂、稀释剂、色素等添加剂或填料）的通用化学名称、材料商品名和材料安全数据（主要包括理化性能、生物相容性、人体接触许可限量等），并明确在生产过程和/或最终产品中的具体作用。</w:t>
      </w:r>
    </w:p>
    <w:p w14:paraId="34DCAD15">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7.包装说明</w:t>
      </w:r>
    </w:p>
    <w:p w14:paraId="74FF05E8">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说明与灭菌方法相适应的最初包装的信息。建议提供产品初包装结构示意图和/或照片，明确初包装材料，标明初包装尺寸，并明确与产品一起销售的配件及其包装情况。</w:t>
      </w:r>
    </w:p>
    <w:p w14:paraId="69537C43">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8.研发历程、与同类和/或前代产品的参考和比较</w:t>
      </w:r>
    </w:p>
    <w:p w14:paraId="368E0A98">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提供参考的已上市同类产品或前代产品（如有）的信息，阐述申报产品的研发背景和目的。对于同类产品，应当说明选择其作为研发参考的原因。以对比表形式，说明申报产品与参考产品（同类产品或前代产品）在工作原理、结构组成、制造材料、性能指标以及适用范围等方面的异同，必要时可结合图片、图表进行说明。如与参考产品存在差异，宜结合差异及“医疗器械安全和性能基本原则清单”要求，分析差异是否需要进行额外的、特殊的安全有效性评价。</w:t>
      </w:r>
    </w:p>
    <w:p w14:paraId="57C13C3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9.适用范围和禁忌证</w:t>
      </w:r>
    </w:p>
    <w:p w14:paraId="47EE0D09">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明确产品适用范围，特别是具体范围，如隆乳、乳房再造、隆乳后植入物更换、再造后植入物更换。</w:t>
      </w:r>
    </w:p>
    <w:p w14:paraId="5B8F045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明确医生应当具备的技能/知识/培训。</w:t>
      </w:r>
    </w:p>
    <w:p w14:paraId="25700E11">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明确预期使用环境、适用人群信息。说明该产品禁忌应用的疾病、作用部位、人群（如适用）等。</w:t>
      </w:r>
    </w:p>
    <w:p w14:paraId="31AB7FA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10.申报产品境外上市历史</w:t>
      </w:r>
    </w:p>
    <w:p w14:paraId="700C5CAE">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如适用，提供产品境外上市情况信息、不良事件和召回情况，包括乳房植入体相关的间变性大细胞淋巴瘤（BIA-ALCL）和乳房植入体相关的鳞状细胞癌（BIA-SCC）等不良事件和投诉信息。</w:t>
      </w:r>
    </w:p>
    <w:p w14:paraId="5A1CFE32">
      <w:pPr>
        <w:kinsoku w:val="0"/>
        <w:wordWrap w:val="0"/>
        <w:overflowPunct w:val="0"/>
        <w:topLinePunct/>
        <w:autoSpaceDE w:val="0"/>
        <w:autoSpaceDN w:val="0"/>
        <w:spacing w:line="520" w:lineRule="exact"/>
        <w:ind w:firstLine="640" w:firstLineChars="200"/>
        <w:outlineLvl w:val="1"/>
        <w:rPr>
          <w:rFonts w:ascii="Times New Roman" w:hAnsi="Times New Roman" w:eastAsia="楷体"/>
          <w:sz w:val="32"/>
          <w:szCs w:val="28"/>
        </w:rPr>
      </w:pPr>
      <w:bookmarkStart w:id="6" w:name="_Toc87883068"/>
      <w:bookmarkStart w:id="7" w:name="_Toc81253088"/>
      <w:r>
        <w:rPr>
          <w:rFonts w:ascii="Times New Roman" w:hAnsi="Times New Roman" w:eastAsia="楷体"/>
          <w:sz w:val="32"/>
          <w:szCs w:val="28"/>
        </w:rPr>
        <w:t>（三）非临床资料</w:t>
      </w:r>
      <w:bookmarkEnd w:id="6"/>
      <w:bookmarkEnd w:id="7"/>
    </w:p>
    <w:p w14:paraId="71A68B0D">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28"/>
        </w:rPr>
      </w:pPr>
      <w:r>
        <w:rPr>
          <w:rFonts w:ascii="Times New Roman" w:hAnsi="Times New Roman" w:eastAsia="仿宋_GB2312"/>
          <w:sz w:val="32"/>
          <w:szCs w:val="28"/>
        </w:rPr>
        <w:t>1.产品风险管理资料</w:t>
      </w:r>
    </w:p>
    <w:p w14:paraId="12581E03">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根据GB/T 42062《医疗器械风险管理对医疗器械的应用》，对乳房植入体产品的原材料、生产加工过程、产品包装、灭菌、运输、贮存、使用等产品生命周期的各个环节，从能量危害（若涉及）、生物学危害、环境危害、有关使用的危害、由功能失效、维护及老化引起的危害等方面，进行风险分析，详述所采取的风险控制措施。</w:t>
      </w:r>
    </w:p>
    <w:p w14:paraId="0191D20B">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特别提供关于BIA-ALCL的风险分析和防范措施相关资料。</w:t>
      </w:r>
    </w:p>
    <w:p w14:paraId="2397435F">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28"/>
        </w:rPr>
      </w:pPr>
      <w:bookmarkStart w:id="8" w:name="_Toc81253091"/>
      <w:bookmarkStart w:id="9" w:name="_Toc87883069"/>
      <w:r>
        <w:rPr>
          <w:rFonts w:ascii="Times New Roman" w:hAnsi="Times New Roman" w:eastAsia="仿宋_GB2312"/>
          <w:sz w:val="32"/>
          <w:szCs w:val="28"/>
        </w:rPr>
        <w:t>2.</w:t>
      </w:r>
      <w:bookmarkEnd w:id="8"/>
      <w:bookmarkEnd w:id="9"/>
      <w:r>
        <w:rPr>
          <w:rFonts w:ascii="Times New Roman" w:hAnsi="Times New Roman" w:eastAsia="仿宋_GB2312"/>
          <w:sz w:val="32"/>
          <w:szCs w:val="28"/>
        </w:rPr>
        <w:t>产品技术要求</w:t>
      </w:r>
    </w:p>
    <w:p w14:paraId="0592253B">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乳房植入体参考的主要相关国家标准及行业标准举例见参考文献部分（未标明年代号表示应参照最新标准），同时产品技术要求需按照《医疗器械产品技术要求编写指导原则》的要求进行编制。</w:t>
      </w:r>
    </w:p>
    <w:p w14:paraId="75305762">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2.1产品型号规格及其划分说明</w:t>
      </w:r>
    </w:p>
    <w:p w14:paraId="0ED635D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明确产品型号规格，阐明各型号规格间的区别及划分说明，型号规格的表述需在全部注册申报资料中保持一致。</w:t>
      </w:r>
    </w:p>
    <w:p w14:paraId="18B8B463">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2.2性能指标</w:t>
      </w:r>
    </w:p>
    <w:p w14:paraId="3F6B76B8">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性能指标应不低于产品适用的国家标准/行业标准，若申报产品不适用相关标准，提供说明以及经验证的证明性资料。产品性能指标可参考附件表1制定，对于可进行客观判定的成品的功能性、安全性指标，应将其列入产品技术要求。如有不适用条款，注册申请人应在申报资料中说明理由。如产品有特定设计，注册申请人还应根据产品设计特征设定相应的性能指标，并将其列入产品技术要求。对于除乳房植入体外还包含其他部件及工具的产品，注册申请人需制定相应部件或工具的性能项目。</w:t>
      </w:r>
    </w:p>
    <w:p w14:paraId="53A73714">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2.3检验方法</w:t>
      </w:r>
    </w:p>
    <w:p w14:paraId="77BB6054">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产品的检验方法应根据技术性能指标设定，检验方法宜优先采用国家标准/行业标准中的方法，若标准检验方法不适用时需提交分析论证。自建检验方法需提供相应的方法学依据及理论基础，同时保证检验方法具有可操作性和可重现性，必要时可以附录形式采用相应图示进行说明。</w:t>
      </w:r>
    </w:p>
    <w:p w14:paraId="7DE74652">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2.4产品信息</w:t>
      </w:r>
    </w:p>
    <w:p w14:paraId="457B1192">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建议注册申请人以产品技术要求附录形式提供产品的结构图示及制造材料信息，具体包括：</w:t>
      </w:r>
    </w:p>
    <w:p w14:paraId="1D25E9A2">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2.4.1乳房植入体的总体外型、尺寸描述及相应图示：外壳表面、形状、单腔填充/双腔填充（对于双腔的分别标识内外腔）、容积（或可调节）、充盈度、宽度、高度、凸度、壳体厚度等。</w:t>
      </w:r>
    </w:p>
    <w:p w14:paraId="3A8C24B9">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2.4.2乳房植入体每一组成部分的描述及相应图示（例如壳体、凝胶、表面结构、阀门、联接附件、填充管、注射件等）。</w:t>
      </w:r>
    </w:p>
    <w:p w14:paraId="0146909B">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2.4.3明确乳房植入体各组成部分的所有组成材料的基本信息。对于硅橡胶（硅凝胶），请参照下表要求明确原材料、添加助剂及终产品材质的相关信息，明确所采用的硫化形式（如双组分加成硫化、热硫化等）。</w:t>
      </w:r>
    </w:p>
    <w:p w14:paraId="02E5925F">
      <w:pPr>
        <w:spacing w:line="520" w:lineRule="exact"/>
        <w:ind w:firstLine="640" w:firstLineChars="200"/>
        <w:rPr>
          <w:rFonts w:ascii="Times New Roman" w:hAnsi="Times New Roman" w:eastAsia="仿宋_GB2312"/>
          <w:sz w:val="32"/>
          <w:szCs w:val="28"/>
        </w:rPr>
      </w:pPr>
    </w:p>
    <w:tbl>
      <w:tblPr>
        <w:tblStyle w:val="1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163"/>
        <w:gridCol w:w="1100"/>
        <w:gridCol w:w="1517"/>
        <w:gridCol w:w="838"/>
        <w:gridCol w:w="1407"/>
        <w:gridCol w:w="638"/>
      </w:tblGrid>
      <w:tr w14:paraId="726A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1701" w:type="dxa"/>
            <w:tcBorders>
              <w:top w:val="single" w:color="auto" w:sz="4" w:space="0"/>
              <w:left w:val="single" w:color="auto" w:sz="4" w:space="0"/>
              <w:bottom w:val="nil"/>
              <w:right w:val="single" w:color="auto" w:sz="4" w:space="0"/>
            </w:tcBorders>
            <w:vAlign w:val="center"/>
          </w:tcPr>
          <w:p w14:paraId="69DDB8FC">
            <w:pPr>
              <w:spacing w:line="400" w:lineRule="exact"/>
              <w:jc w:val="center"/>
              <w:rPr>
                <w:rStyle w:val="26"/>
                <w:rFonts w:eastAsia="黑体"/>
                <w:b w:val="0"/>
                <w:bCs w:val="0"/>
                <w:kern w:val="0"/>
                <w:sz w:val="28"/>
                <w:szCs w:val="28"/>
              </w:rPr>
            </w:pPr>
            <w:r>
              <w:rPr>
                <w:rStyle w:val="26"/>
                <w:rFonts w:eastAsia="黑体"/>
                <w:b w:val="0"/>
                <w:bCs w:val="0"/>
                <w:kern w:val="0"/>
                <w:sz w:val="28"/>
                <w:szCs w:val="28"/>
                <w:lang w:val="zh-CN"/>
              </w:rPr>
              <w:t>各组成部分</w:t>
            </w:r>
            <w:r>
              <w:rPr>
                <w:rStyle w:val="26"/>
                <w:rFonts w:eastAsia="黑体"/>
                <w:b w:val="0"/>
                <w:bCs w:val="0"/>
                <w:kern w:val="0"/>
                <w:sz w:val="28"/>
                <w:szCs w:val="28"/>
              </w:rPr>
              <w:t>信息</w:t>
            </w:r>
          </w:p>
        </w:tc>
        <w:tc>
          <w:tcPr>
            <w:tcW w:w="1163" w:type="dxa"/>
            <w:tcBorders>
              <w:top w:val="single" w:color="auto" w:sz="4" w:space="0"/>
              <w:left w:val="single" w:color="auto" w:sz="4" w:space="0"/>
              <w:bottom w:val="nil"/>
              <w:right w:val="single" w:color="auto" w:sz="4" w:space="0"/>
            </w:tcBorders>
            <w:vAlign w:val="center"/>
          </w:tcPr>
          <w:p w14:paraId="45DBD5FB">
            <w:pPr>
              <w:spacing w:line="400" w:lineRule="exact"/>
              <w:jc w:val="center"/>
              <w:rPr>
                <w:rStyle w:val="26"/>
                <w:rFonts w:eastAsia="黑体"/>
                <w:b w:val="0"/>
                <w:bCs w:val="0"/>
                <w:kern w:val="0"/>
                <w:sz w:val="28"/>
                <w:szCs w:val="28"/>
                <w:lang w:val="zh-CN"/>
              </w:rPr>
            </w:pPr>
            <w:r>
              <w:rPr>
                <w:rStyle w:val="26"/>
                <w:rFonts w:eastAsia="黑体"/>
                <w:b w:val="0"/>
                <w:bCs w:val="0"/>
                <w:kern w:val="0"/>
                <w:sz w:val="28"/>
                <w:szCs w:val="28"/>
                <w:lang w:val="zh-CN"/>
              </w:rPr>
              <w:t>通用化学名称</w:t>
            </w:r>
          </w:p>
        </w:tc>
        <w:tc>
          <w:tcPr>
            <w:tcW w:w="1100" w:type="dxa"/>
            <w:tcBorders>
              <w:top w:val="single" w:color="auto" w:sz="4" w:space="0"/>
              <w:left w:val="single" w:color="auto" w:sz="4" w:space="0"/>
              <w:bottom w:val="nil"/>
              <w:right w:val="single" w:color="auto" w:sz="4" w:space="0"/>
            </w:tcBorders>
            <w:vAlign w:val="center"/>
          </w:tcPr>
          <w:p w14:paraId="5BA8A6C3">
            <w:pPr>
              <w:spacing w:line="400" w:lineRule="exact"/>
              <w:jc w:val="center"/>
              <w:rPr>
                <w:rStyle w:val="26"/>
                <w:rFonts w:eastAsia="黑体"/>
                <w:b w:val="0"/>
                <w:bCs w:val="0"/>
                <w:kern w:val="0"/>
                <w:sz w:val="28"/>
                <w:szCs w:val="28"/>
                <w:lang w:val="zh-CN"/>
              </w:rPr>
            </w:pPr>
            <w:r>
              <w:rPr>
                <w:rStyle w:val="26"/>
                <w:rFonts w:eastAsia="黑体"/>
                <w:b w:val="0"/>
                <w:bCs w:val="0"/>
                <w:kern w:val="0"/>
                <w:sz w:val="28"/>
                <w:szCs w:val="28"/>
                <w:lang w:val="zh-CN"/>
              </w:rPr>
              <w:t>化学结构式/分子式</w:t>
            </w:r>
          </w:p>
        </w:tc>
        <w:tc>
          <w:tcPr>
            <w:tcW w:w="1517" w:type="dxa"/>
            <w:tcBorders>
              <w:top w:val="single" w:color="auto" w:sz="4" w:space="0"/>
              <w:left w:val="single" w:color="auto" w:sz="4" w:space="0"/>
              <w:bottom w:val="nil"/>
              <w:right w:val="single" w:color="auto" w:sz="4" w:space="0"/>
            </w:tcBorders>
            <w:vAlign w:val="center"/>
          </w:tcPr>
          <w:p w14:paraId="659C0210">
            <w:pPr>
              <w:spacing w:line="400" w:lineRule="exact"/>
              <w:jc w:val="center"/>
              <w:rPr>
                <w:rStyle w:val="26"/>
                <w:rFonts w:eastAsia="黑体"/>
                <w:b w:val="0"/>
                <w:bCs w:val="0"/>
                <w:kern w:val="0"/>
                <w:sz w:val="28"/>
                <w:szCs w:val="28"/>
                <w:lang w:val="zh-CN"/>
              </w:rPr>
            </w:pPr>
            <w:r>
              <w:rPr>
                <w:rStyle w:val="26"/>
                <w:rFonts w:eastAsia="黑体"/>
                <w:b w:val="0"/>
                <w:bCs w:val="0"/>
                <w:kern w:val="0"/>
                <w:sz w:val="28"/>
                <w:szCs w:val="28"/>
                <w:lang w:val="zh-CN"/>
              </w:rPr>
              <w:t>商品名/材料代号（牌号）</w:t>
            </w:r>
          </w:p>
        </w:tc>
        <w:tc>
          <w:tcPr>
            <w:tcW w:w="838" w:type="dxa"/>
            <w:tcBorders>
              <w:top w:val="single" w:color="auto" w:sz="4" w:space="0"/>
              <w:left w:val="single" w:color="auto" w:sz="4" w:space="0"/>
              <w:bottom w:val="nil"/>
              <w:right w:val="single" w:color="auto" w:sz="4" w:space="0"/>
            </w:tcBorders>
            <w:vAlign w:val="center"/>
          </w:tcPr>
          <w:p w14:paraId="3AAEF45B">
            <w:pPr>
              <w:spacing w:line="400" w:lineRule="exact"/>
              <w:jc w:val="center"/>
              <w:rPr>
                <w:rStyle w:val="26"/>
                <w:rFonts w:eastAsia="黑体"/>
                <w:b w:val="0"/>
                <w:bCs w:val="0"/>
                <w:kern w:val="0"/>
                <w:sz w:val="28"/>
                <w:szCs w:val="28"/>
                <w:lang w:val="zh-CN"/>
              </w:rPr>
            </w:pPr>
            <w:r>
              <w:rPr>
                <w:rStyle w:val="26"/>
                <w:rFonts w:eastAsia="黑体"/>
                <w:b w:val="0"/>
                <w:bCs w:val="0"/>
                <w:kern w:val="0"/>
                <w:sz w:val="28"/>
                <w:szCs w:val="28"/>
                <w:lang w:val="zh-CN"/>
              </w:rPr>
              <w:t>分子量</w:t>
            </w:r>
          </w:p>
        </w:tc>
        <w:tc>
          <w:tcPr>
            <w:tcW w:w="1407" w:type="dxa"/>
            <w:tcBorders>
              <w:top w:val="single" w:color="auto" w:sz="4" w:space="0"/>
              <w:left w:val="single" w:color="auto" w:sz="4" w:space="0"/>
              <w:bottom w:val="nil"/>
              <w:right w:val="single" w:color="auto" w:sz="4" w:space="0"/>
            </w:tcBorders>
            <w:vAlign w:val="center"/>
          </w:tcPr>
          <w:p w14:paraId="5FFC9656">
            <w:pPr>
              <w:spacing w:line="400" w:lineRule="exact"/>
              <w:jc w:val="center"/>
              <w:rPr>
                <w:rStyle w:val="26"/>
                <w:rFonts w:eastAsia="黑体"/>
                <w:b w:val="0"/>
                <w:bCs w:val="0"/>
                <w:kern w:val="0"/>
                <w:sz w:val="28"/>
                <w:szCs w:val="28"/>
                <w:lang w:val="zh-CN"/>
              </w:rPr>
            </w:pPr>
            <w:r>
              <w:rPr>
                <w:rStyle w:val="26"/>
                <w:rFonts w:eastAsia="黑体"/>
                <w:b w:val="0"/>
                <w:bCs w:val="0"/>
                <w:kern w:val="0"/>
                <w:sz w:val="28"/>
                <w:szCs w:val="28"/>
                <w:lang w:val="zh-CN"/>
              </w:rPr>
              <w:t>分子量分布（如适用）</w:t>
            </w:r>
          </w:p>
        </w:tc>
        <w:tc>
          <w:tcPr>
            <w:tcW w:w="638" w:type="dxa"/>
            <w:tcBorders>
              <w:top w:val="single" w:color="auto" w:sz="4" w:space="0"/>
              <w:left w:val="single" w:color="auto" w:sz="4" w:space="0"/>
              <w:bottom w:val="nil"/>
              <w:right w:val="single" w:color="auto" w:sz="4" w:space="0"/>
            </w:tcBorders>
            <w:vAlign w:val="center"/>
          </w:tcPr>
          <w:p w14:paraId="3A510787">
            <w:pPr>
              <w:spacing w:line="400" w:lineRule="exact"/>
              <w:jc w:val="center"/>
              <w:rPr>
                <w:rStyle w:val="26"/>
                <w:rFonts w:eastAsia="黑体"/>
                <w:b w:val="0"/>
                <w:bCs w:val="0"/>
                <w:kern w:val="0"/>
                <w:sz w:val="28"/>
                <w:szCs w:val="28"/>
              </w:rPr>
            </w:pPr>
            <w:r>
              <w:rPr>
                <w:rStyle w:val="26"/>
                <w:rFonts w:eastAsia="黑体"/>
                <w:b w:val="0"/>
                <w:bCs w:val="0"/>
                <w:kern w:val="0"/>
                <w:sz w:val="28"/>
                <w:szCs w:val="28"/>
              </w:rPr>
              <w:t>硫化程度</w:t>
            </w:r>
          </w:p>
        </w:tc>
      </w:tr>
      <w:tr w14:paraId="0588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01" w:type="dxa"/>
            <w:vAlign w:val="center"/>
          </w:tcPr>
          <w:p w14:paraId="5081A6FA">
            <w:pPr>
              <w:spacing w:line="400" w:lineRule="exact"/>
              <w:jc w:val="center"/>
              <w:rPr>
                <w:rStyle w:val="26"/>
                <w:rFonts w:eastAsia="仿宋_GB2312"/>
                <w:b w:val="0"/>
                <w:bCs w:val="0"/>
                <w:kern w:val="0"/>
                <w:sz w:val="28"/>
                <w:szCs w:val="28"/>
              </w:rPr>
            </w:pPr>
            <w:r>
              <w:rPr>
                <w:rStyle w:val="26"/>
                <w:rFonts w:eastAsia="仿宋_GB2312"/>
                <w:b w:val="0"/>
                <w:bCs w:val="0"/>
                <w:kern w:val="0"/>
                <w:sz w:val="28"/>
                <w:szCs w:val="28"/>
              </w:rPr>
              <w:t>原材料</w:t>
            </w:r>
          </w:p>
          <w:p w14:paraId="3DB92D3E">
            <w:pPr>
              <w:spacing w:line="400" w:lineRule="exact"/>
              <w:jc w:val="center"/>
              <w:rPr>
                <w:rStyle w:val="26"/>
                <w:rFonts w:eastAsia="仿宋_GB2312"/>
                <w:b w:val="0"/>
                <w:bCs w:val="0"/>
                <w:kern w:val="0"/>
                <w:sz w:val="28"/>
                <w:szCs w:val="28"/>
              </w:rPr>
            </w:pPr>
            <w:r>
              <w:rPr>
                <w:rStyle w:val="26"/>
                <w:rFonts w:eastAsia="仿宋_GB2312"/>
                <w:b w:val="0"/>
                <w:bCs w:val="0"/>
                <w:kern w:val="0"/>
                <w:sz w:val="28"/>
                <w:szCs w:val="28"/>
              </w:rPr>
              <w:t>（硫化前）</w:t>
            </w:r>
          </w:p>
        </w:tc>
        <w:tc>
          <w:tcPr>
            <w:tcW w:w="1163" w:type="dxa"/>
            <w:vAlign w:val="center"/>
          </w:tcPr>
          <w:p w14:paraId="28C7EA6E">
            <w:pPr>
              <w:spacing w:line="400" w:lineRule="exact"/>
              <w:jc w:val="center"/>
              <w:rPr>
                <w:rStyle w:val="26"/>
                <w:rFonts w:eastAsia="仿宋_GB2312"/>
                <w:kern w:val="0"/>
                <w:sz w:val="28"/>
                <w:szCs w:val="28"/>
              </w:rPr>
            </w:pPr>
            <w:r>
              <w:rPr>
                <w:rStyle w:val="26"/>
                <w:rFonts w:eastAsia="仿宋_GB2312"/>
                <w:b w:val="0"/>
                <w:bCs w:val="0"/>
                <w:kern w:val="0"/>
                <w:sz w:val="28"/>
                <w:szCs w:val="28"/>
              </w:rPr>
              <w:t>√</w:t>
            </w:r>
          </w:p>
        </w:tc>
        <w:tc>
          <w:tcPr>
            <w:tcW w:w="1100" w:type="dxa"/>
            <w:vAlign w:val="center"/>
          </w:tcPr>
          <w:p w14:paraId="58E69E71">
            <w:pPr>
              <w:spacing w:line="400" w:lineRule="exact"/>
              <w:jc w:val="center"/>
              <w:rPr>
                <w:rStyle w:val="26"/>
                <w:rFonts w:eastAsia="仿宋_GB2312"/>
                <w:b w:val="0"/>
                <w:bCs w:val="0"/>
                <w:kern w:val="0"/>
                <w:sz w:val="28"/>
                <w:szCs w:val="28"/>
              </w:rPr>
            </w:pPr>
            <w:r>
              <w:rPr>
                <w:rStyle w:val="26"/>
                <w:rFonts w:eastAsia="仿宋_GB2312"/>
                <w:b w:val="0"/>
                <w:bCs w:val="0"/>
                <w:kern w:val="0"/>
                <w:sz w:val="28"/>
                <w:szCs w:val="28"/>
              </w:rPr>
              <w:t>√</w:t>
            </w:r>
          </w:p>
        </w:tc>
        <w:tc>
          <w:tcPr>
            <w:tcW w:w="1517" w:type="dxa"/>
            <w:vAlign w:val="center"/>
          </w:tcPr>
          <w:p w14:paraId="2A807BAC">
            <w:pPr>
              <w:spacing w:line="400" w:lineRule="exact"/>
              <w:jc w:val="center"/>
              <w:rPr>
                <w:rStyle w:val="26"/>
                <w:rFonts w:eastAsia="仿宋_GB2312"/>
                <w:kern w:val="0"/>
                <w:sz w:val="28"/>
                <w:szCs w:val="28"/>
              </w:rPr>
            </w:pPr>
            <w:r>
              <w:rPr>
                <w:rStyle w:val="26"/>
                <w:rFonts w:eastAsia="仿宋_GB2312"/>
                <w:b w:val="0"/>
                <w:bCs w:val="0"/>
                <w:kern w:val="0"/>
                <w:sz w:val="28"/>
                <w:szCs w:val="28"/>
              </w:rPr>
              <w:t>√</w:t>
            </w:r>
          </w:p>
        </w:tc>
        <w:tc>
          <w:tcPr>
            <w:tcW w:w="838" w:type="dxa"/>
            <w:vAlign w:val="center"/>
          </w:tcPr>
          <w:p w14:paraId="1B42F84F">
            <w:pPr>
              <w:spacing w:line="400" w:lineRule="exact"/>
              <w:jc w:val="center"/>
              <w:rPr>
                <w:rStyle w:val="26"/>
                <w:rFonts w:eastAsia="仿宋_GB2312"/>
                <w:kern w:val="0"/>
                <w:sz w:val="28"/>
                <w:szCs w:val="28"/>
              </w:rPr>
            </w:pPr>
            <w:r>
              <w:rPr>
                <w:rStyle w:val="26"/>
                <w:rFonts w:eastAsia="仿宋_GB2312"/>
                <w:b w:val="0"/>
                <w:bCs w:val="0"/>
                <w:kern w:val="0"/>
                <w:sz w:val="28"/>
                <w:szCs w:val="28"/>
              </w:rPr>
              <w:t>√</w:t>
            </w:r>
          </w:p>
        </w:tc>
        <w:tc>
          <w:tcPr>
            <w:tcW w:w="1407" w:type="dxa"/>
            <w:vAlign w:val="center"/>
          </w:tcPr>
          <w:p w14:paraId="427058A5">
            <w:pPr>
              <w:spacing w:line="400" w:lineRule="exact"/>
              <w:jc w:val="center"/>
              <w:rPr>
                <w:rStyle w:val="26"/>
                <w:rFonts w:eastAsia="仿宋_GB2312"/>
                <w:kern w:val="0"/>
                <w:sz w:val="28"/>
                <w:szCs w:val="28"/>
              </w:rPr>
            </w:pPr>
            <w:r>
              <w:rPr>
                <w:rStyle w:val="26"/>
                <w:rFonts w:eastAsia="仿宋_GB2312"/>
                <w:b w:val="0"/>
                <w:bCs w:val="0"/>
                <w:kern w:val="0"/>
                <w:sz w:val="28"/>
                <w:szCs w:val="28"/>
              </w:rPr>
              <w:t>√</w:t>
            </w:r>
          </w:p>
        </w:tc>
        <w:tc>
          <w:tcPr>
            <w:tcW w:w="638" w:type="dxa"/>
            <w:vAlign w:val="center"/>
          </w:tcPr>
          <w:p w14:paraId="67850FBF">
            <w:pPr>
              <w:spacing w:line="400" w:lineRule="exact"/>
              <w:jc w:val="center"/>
              <w:rPr>
                <w:rStyle w:val="26"/>
                <w:rFonts w:eastAsia="仿宋_GB2312"/>
                <w:b w:val="0"/>
                <w:bCs w:val="0"/>
                <w:kern w:val="0"/>
                <w:sz w:val="28"/>
                <w:szCs w:val="28"/>
              </w:rPr>
            </w:pPr>
            <w:r>
              <w:rPr>
                <w:rStyle w:val="26"/>
                <w:rFonts w:eastAsia="仿宋_GB2312"/>
                <w:kern w:val="0"/>
                <w:sz w:val="28"/>
                <w:szCs w:val="28"/>
              </w:rPr>
              <w:t>/</w:t>
            </w:r>
          </w:p>
        </w:tc>
      </w:tr>
      <w:tr w14:paraId="09BA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701" w:type="dxa"/>
            <w:vAlign w:val="center"/>
          </w:tcPr>
          <w:p w14:paraId="567C0AF8">
            <w:pPr>
              <w:spacing w:line="400" w:lineRule="exact"/>
              <w:jc w:val="center"/>
              <w:rPr>
                <w:rStyle w:val="26"/>
                <w:rFonts w:eastAsia="仿宋_GB2312"/>
                <w:b w:val="0"/>
                <w:bCs w:val="0"/>
                <w:kern w:val="0"/>
                <w:sz w:val="28"/>
                <w:szCs w:val="28"/>
                <w:lang w:val="zh-CN"/>
              </w:rPr>
            </w:pPr>
            <w:r>
              <w:rPr>
                <w:rStyle w:val="26"/>
                <w:rFonts w:eastAsia="仿宋_GB2312"/>
                <w:b w:val="0"/>
                <w:bCs w:val="0"/>
                <w:kern w:val="0"/>
                <w:sz w:val="28"/>
                <w:szCs w:val="28"/>
              </w:rPr>
              <w:t>交联剂</w:t>
            </w:r>
          </w:p>
        </w:tc>
        <w:tc>
          <w:tcPr>
            <w:tcW w:w="1163" w:type="dxa"/>
            <w:vAlign w:val="center"/>
          </w:tcPr>
          <w:p w14:paraId="6526677E">
            <w:pPr>
              <w:spacing w:line="400" w:lineRule="exact"/>
              <w:jc w:val="center"/>
              <w:rPr>
                <w:rStyle w:val="26"/>
                <w:rFonts w:eastAsia="仿宋_GB2312"/>
                <w:b w:val="0"/>
                <w:bCs w:val="0"/>
                <w:kern w:val="0"/>
                <w:sz w:val="28"/>
                <w:szCs w:val="28"/>
                <w:lang w:val="zh-CN"/>
              </w:rPr>
            </w:pPr>
            <w:r>
              <w:rPr>
                <w:rStyle w:val="26"/>
                <w:rFonts w:eastAsia="仿宋_GB2312"/>
                <w:b w:val="0"/>
                <w:bCs w:val="0"/>
                <w:kern w:val="0"/>
                <w:sz w:val="28"/>
                <w:szCs w:val="28"/>
              </w:rPr>
              <w:t>√</w:t>
            </w:r>
          </w:p>
        </w:tc>
        <w:tc>
          <w:tcPr>
            <w:tcW w:w="1100" w:type="dxa"/>
            <w:vAlign w:val="center"/>
          </w:tcPr>
          <w:p w14:paraId="10BB3163">
            <w:pPr>
              <w:spacing w:line="400" w:lineRule="exact"/>
              <w:jc w:val="center"/>
              <w:rPr>
                <w:rStyle w:val="26"/>
                <w:rFonts w:eastAsia="仿宋_GB2312"/>
                <w:kern w:val="0"/>
                <w:sz w:val="28"/>
                <w:szCs w:val="28"/>
                <w:lang w:val="zh-CN"/>
              </w:rPr>
            </w:pPr>
            <w:r>
              <w:rPr>
                <w:rStyle w:val="26"/>
                <w:rFonts w:eastAsia="仿宋_GB2312"/>
                <w:b w:val="0"/>
                <w:bCs w:val="0"/>
                <w:kern w:val="0"/>
                <w:sz w:val="28"/>
                <w:szCs w:val="28"/>
              </w:rPr>
              <w:t>√</w:t>
            </w:r>
          </w:p>
        </w:tc>
        <w:tc>
          <w:tcPr>
            <w:tcW w:w="1517" w:type="dxa"/>
            <w:vAlign w:val="center"/>
          </w:tcPr>
          <w:p w14:paraId="6A3CBA94">
            <w:pPr>
              <w:spacing w:line="400" w:lineRule="exact"/>
              <w:jc w:val="center"/>
              <w:rPr>
                <w:rStyle w:val="26"/>
                <w:rFonts w:eastAsia="仿宋_GB2312"/>
                <w:kern w:val="0"/>
                <w:sz w:val="28"/>
                <w:szCs w:val="28"/>
                <w:lang w:val="zh-CN"/>
              </w:rPr>
            </w:pPr>
            <w:r>
              <w:rPr>
                <w:rStyle w:val="26"/>
                <w:rFonts w:eastAsia="仿宋_GB2312"/>
                <w:kern w:val="0"/>
                <w:sz w:val="28"/>
                <w:szCs w:val="28"/>
                <w:lang w:val="zh-CN"/>
              </w:rPr>
              <w:t>/</w:t>
            </w:r>
          </w:p>
        </w:tc>
        <w:tc>
          <w:tcPr>
            <w:tcW w:w="838" w:type="dxa"/>
            <w:vAlign w:val="center"/>
          </w:tcPr>
          <w:p w14:paraId="09393BA4">
            <w:pPr>
              <w:spacing w:line="400" w:lineRule="exact"/>
              <w:jc w:val="center"/>
              <w:rPr>
                <w:rStyle w:val="26"/>
                <w:rFonts w:eastAsia="仿宋_GB2312"/>
                <w:kern w:val="0"/>
                <w:sz w:val="28"/>
                <w:szCs w:val="28"/>
              </w:rPr>
            </w:pPr>
            <w:r>
              <w:rPr>
                <w:rStyle w:val="26"/>
                <w:rFonts w:eastAsia="仿宋_GB2312"/>
                <w:kern w:val="0"/>
                <w:sz w:val="28"/>
                <w:szCs w:val="28"/>
              </w:rPr>
              <w:t>/</w:t>
            </w:r>
          </w:p>
        </w:tc>
        <w:tc>
          <w:tcPr>
            <w:tcW w:w="1407" w:type="dxa"/>
            <w:vAlign w:val="center"/>
          </w:tcPr>
          <w:p w14:paraId="7CBDF121">
            <w:pPr>
              <w:spacing w:line="400" w:lineRule="exact"/>
              <w:jc w:val="center"/>
              <w:rPr>
                <w:rStyle w:val="26"/>
                <w:rFonts w:eastAsia="仿宋_GB2312"/>
                <w:kern w:val="0"/>
                <w:sz w:val="28"/>
                <w:szCs w:val="28"/>
              </w:rPr>
            </w:pPr>
            <w:r>
              <w:rPr>
                <w:rStyle w:val="26"/>
                <w:rFonts w:eastAsia="仿宋_GB2312"/>
                <w:kern w:val="0"/>
                <w:sz w:val="28"/>
                <w:szCs w:val="28"/>
              </w:rPr>
              <w:t>/</w:t>
            </w:r>
          </w:p>
        </w:tc>
        <w:tc>
          <w:tcPr>
            <w:tcW w:w="638" w:type="dxa"/>
            <w:vAlign w:val="center"/>
          </w:tcPr>
          <w:p w14:paraId="3A55C659">
            <w:pPr>
              <w:spacing w:line="400" w:lineRule="exact"/>
              <w:jc w:val="center"/>
              <w:rPr>
                <w:rStyle w:val="26"/>
                <w:rFonts w:eastAsia="仿宋_GB2312"/>
                <w:kern w:val="0"/>
                <w:sz w:val="28"/>
                <w:szCs w:val="28"/>
              </w:rPr>
            </w:pPr>
            <w:r>
              <w:rPr>
                <w:rStyle w:val="26"/>
                <w:rFonts w:eastAsia="仿宋_GB2312"/>
                <w:kern w:val="0"/>
                <w:sz w:val="28"/>
                <w:szCs w:val="28"/>
              </w:rPr>
              <w:t>/</w:t>
            </w:r>
          </w:p>
        </w:tc>
      </w:tr>
      <w:tr w14:paraId="3836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701" w:type="dxa"/>
            <w:vAlign w:val="center"/>
          </w:tcPr>
          <w:p w14:paraId="002BDF4F">
            <w:pPr>
              <w:spacing w:line="400" w:lineRule="exact"/>
              <w:jc w:val="center"/>
              <w:rPr>
                <w:rStyle w:val="26"/>
                <w:rFonts w:eastAsia="仿宋_GB2312"/>
                <w:b w:val="0"/>
                <w:bCs w:val="0"/>
                <w:kern w:val="0"/>
                <w:sz w:val="28"/>
                <w:szCs w:val="28"/>
              </w:rPr>
            </w:pPr>
            <w:r>
              <w:rPr>
                <w:rStyle w:val="26"/>
                <w:rFonts w:eastAsia="仿宋_GB2312"/>
                <w:b w:val="0"/>
                <w:bCs w:val="0"/>
                <w:kern w:val="0"/>
                <w:sz w:val="28"/>
                <w:szCs w:val="28"/>
              </w:rPr>
              <w:t>催化剂</w:t>
            </w:r>
          </w:p>
        </w:tc>
        <w:tc>
          <w:tcPr>
            <w:tcW w:w="1163" w:type="dxa"/>
            <w:vAlign w:val="center"/>
          </w:tcPr>
          <w:p w14:paraId="25193846">
            <w:pPr>
              <w:spacing w:line="400" w:lineRule="exact"/>
              <w:jc w:val="center"/>
              <w:rPr>
                <w:rFonts w:ascii="Times New Roman" w:hAnsi="Times New Roman" w:eastAsia="仿宋_GB2312"/>
                <w:kern w:val="0"/>
                <w:sz w:val="28"/>
                <w:szCs w:val="28"/>
                <w:lang w:val="zh-CN"/>
              </w:rPr>
            </w:pPr>
            <w:r>
              <w:rPr>
                <w:rStyle w:val="26"/>
                <w:rFonts w:eastAsia="仿宋_GB2312"/>
                <w:b w:val="0"/>
                <w:bCs w:val="0"/>
                <w:kern w:val="0"/>
                <w:sz w:val="28"/>
                <w:szCs w:val="28"/>
              </w:rPr>
              <w:t>√</w:t>
            </w:r>
          </w:p>
        </w:tc>
        <w:tc>
          <w:tcPr>
            <w:tcW w:w="1100" w:type="dxa"/>
            <w:vAlign w:val="center"/>
          </w:tcPr>
          <w:p w14:paraId="300B3CF4">
            <w:pPr>
              <w:spacing w:line="400" w:lineRule="exact"/>
              <w:jc w:val="center"/>
              <w:rPr>
                <w:rStyle w:val="26"/>
                <w:rFonts w:eastAsia="仿宋_GB2312"/>
                <w:kern w:val="0"/>
                <w:sz w:val="28"/>
                <w:szCs w:val="28"/>
                <w:lang w:val="zh-CN"/>
              </w:rPr>
            </w:pPr>
            <w:r>
              <w:rPr>
                <w:rStyle w:val="26"/>
                <w:rFonts w:eastAsia="仿宋_GB2312"/>
                <w:b w:val="0"/>
                <w:bCs w:val="0"/>
                <w:kern w:val="0"/>
                <w:sz w:val="28"/>
                <w:szCs w:val="28"/>
              </w:rPr>
              <w:t>√</w:t>
            </w:r>
          </w:p>
        </w:tc>
        <w:tc>
          <w:tcPr>
            <w:tcW w:w="1517" w:type="dxa"/>
            <w:vAlign w:val="center"/>
          </w:tcPr>
          <w:p w14:paraId="42FBC956">
            <w:pPr>
              <w:spacing w:line="400" w:lineRule="exact"/>
              <w:jc w:val="center"/>
              <w:rPr>
                <w:rStyle w:val="26"/>
                <w:rFonts w:eastAsia="仿宋_GB2312"/>
                <w:kern w:val="0"/>
                <w:sz w:val="28"/>
                <w:szCs w:val="28"/>
              </w:rPr>
            </w:pPr>
            <w:r>
              <w:rPr>
                <w:rStyle w:val="26"/>
                <w:rFonts w:eastAsia="仿宋_GB2312"/>
                <w:kern w:val="0"/>
                <w:sz w:val="28"/>
                <w:szCs w:val="28"/>
              </w:rPr>
              <w:t>/</w:t>
            </w:r>
          </w:p>
        </w:tc>
        <w:tc>
          <w:tcPr>
            <w:tcW w:w="838" w:type="dxa"/>
            <w:vAlign w:val="center"/>
          </w:tcPr>
          <w:p w14:paraId="4A597D8A">
            <w:pPr>
              <w:spacing w:line="400" w:lineRule="exact"/>
              <w:jc w:val="center"/>
              <w:rPr>
                <w:rStyle w:val="26"/>
                <w:rFonts w:eastAsia="仿宋_GB2312"/>
                <w:kern w:val="0"/>
                <w:sz w:val="28"/>
                <w:szCs w:val="28"/>
              </w:rPr>
            </w:pPr>
            <w:r>
              <w:rPr>
                <w:rStyle w:val="26"/>
                <w:rFonts w:eastAsia="仿宋_GB2312"/>
                <w:kern w:val="0"/>
                <w:sz w:val="28"/>
                <w:szCs w:val="28"/>
              </w:rPr>
              <w:t>/</w:t>
            </w:r>
          </w:p>
        </w:tc>
        <w:tc>
          <w:tcPr>
            <w:tcW w:w="1407" w:type="dxa"/>
            <w:vAlign w:val="center"/>
          </w:tcPr>
          <w:p w14:paraId="186D7CD6">
            <w:pPr>
              <w:spacing w:line="400" w:lineRule="exact"/>
              <w:jc w:val="center"/>
              <w:rPr>
                <w:rStyle w:val="26"/>
                <w:rFonts w:eastAsia="仿宋_GB2312"/>
                <w:kern w:val="0"/>
                <w:sz w:val="28"/>
                <w:szCs w:val="28"/>
              </w:rPr>
            </w:pPr>
            <w:r>
              <w:rPr>
                <w:rStyle w:val="26"/>
                <w:rFonts w:eastAsia="仿宋_GB2312"/>
                <w:kern w:val="0"/>
                <w:sz w:val="28"/>
                <w:szCs w:val="28"/>
              </w:rPr>
              <w:t>/</w:t>
            </w:r>
          </w:p>
        </w:tc>
        <w:tc>
          <w:tcPr>
            <w:tcW w:w="638" w:type="dxa"/>
            <w:vAlign w:val="center"/>
          </w:tcPr>
          <w:p w14:paraId="1611A042">
            <w:pPr>
              <w:spacing w:line="400" w:lineRule="exact"/>
              <w:jc w:val="center"/>
              <w:rPr>
                <w:rStyle w:val="26"/>
                <w:rFonts w:eastAsia="仿宋_GB2312"/>
                <w:kern w:val="0"/>
                <w:sz w:val="28"/>
                <w:szCs w:val="28"/>
              </w:rPr>
            </w:pPr>
            <w:r>
              <w:rPr>
                <w:rStyle w:val="26"/>
                <w:rFonts w:eastAsia="仿宋_GB2312"/>
                <w:kern w:val="0"/>
                <w:sz w:val="28"/>
                <w:szCs w:val="28"/>
              </w:rPr>
              <w:t>/</w:t>
            </w:r>
          </w:p>
        </w:tc>
      </w:tr>
      <w:tr w14:paraId="7077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701" w:type="dxa"/>
            <w:vAlign w:val="center"/>
          </w:tcPr>
          <w:p w14:paraId="07199EED">
            <w:pPr>
              <w:spacing w:line="400" w:lineRule="exact"/>
              <w:jc w:val="center"/>
              <w:rPr>
                <w:rStyle w:val="26"/>
                <w:rFonts w:eastAsia="仿宋_GB2312"/>
                <w:b w:val="0"/>
                <w:bCs w:val="0"/>
                <w:kern w:val="0"/>
                <w:sz w:val="28"/>
                <w:szCs w:val="28"/>
              </w:rPr>
            </w:pPr>
            <w:r>
              <w:rPr>
                <w:rStyle w:val="26"/>
                <w:rFonts w:eastAsia="仿宋_GB2312"/>
                <w:b w:val="0"/>
                <w:bCs w:val="0"/>
                <w:kern w:val="0"/>
                <w:sz w:val="28"/>
                <w:szCs w:val="28"/>
              </w:rPr>
              <w:t>终产品</w:t>
            </w:r>
          </w:p>
          <w:p w14:paraId="10F4957A">
            <w:pPr>
              <w:spacing w:line="400" w:lineRule="exact"/>
              <w:jc w:val="center"/>
              <w:rPr>
                <w:rStyle w:val="26"/>
                <w:rFonts w:eastAsia="仿宋_GB2312"/>
                <w:b w:val="0"/>
                <w:bCs w:val="0"/>
                <w:kern w:val="0"/>
                <w:sz w:val="28"/>
                <w:szCs w:val="28"/>
              </w:rPr>
            </w:pPr>
            <w:r>
              <w:rPr>
                <w:rStyle w:val="26"/>
                <w:rFonts w:eastAsia="仿宋_GB2312"/>
                <w:b w:val="0"/>
                <w:bCs w:val="0"/>
                <w:kern w:val="0"/>
                <w:sz w:val="28"/>
                <w:szCs w:val="28"/>
              </w:rPr>
              <w:t>（硫化后）</w:t>
            </w:r>
          </w:p>
        </w:tc>
        <w:tc>
          <w:tcPr>
            <w:tcW w:w="1163" w:type="dxa"/>
            <w:vAlign w:val="center"/>
          </w:tcPr>
          <w:p w14:paraId="363D3B51">
            <w:pPr>
              <w:spacing w:line="400" w:lineRule="exact"/>
              <w:jc w:val="center"/>
              <w:rPr>
                <w:rStyle w:val="26"/>
                <w:rFonts w:eastAsia="仿宋_GB2312"/>
                <w:b w:val="0"/>
                <w:bCs w:val="0"/>
                <w:kern w:val="0"/>
                <w:sz w:val="28"/>
                <w:szCs w:val="28"/>
              </w:rPr>
            </w:pPr>
            <w:r>
              <w:rPr>
                <w:rStyle w:val="26"/>
                <w:rFonts w:eastAsia="仿宋_GB2312"/>
                <w:kern w:val="0"/>
                <w:sz w:val="28"/>
                <w:szCs w:val="28"/>
              </w:rPr>
              <w:t>/</w:t>
            </w:r>
          </w:p>
        </w:tc>
        <w:tc>
          <w:tcPr>
            <w:tcW w:w="1100" w:type="dxa"/>
            <w:vAlign w:val="center"/>
          </w:tcPr>
          <w:p w14:paraId="5010994B">
            <w:pPr>
              <w:spacing w:line="400" w:lineRule="exact"/>
              <w:jc w:val="center"/>
              <w:rPr>
                <w:rStyle w:val="26"/>
                <w:rFonts w:eastAsia="仿宋_GB2312"/>
                <w:b w:val="0"/>
                <w:bCs w:val="0"/>
                <w:kern w:val="0"/>
                <w:sz w:val="28"/>
                <w:szCs w:val="28"/>
              </w:rPr>
            </w:pPr>
            <w:r>
              <w:rPr>
                <w:rStyle w:val="26"/>
                <w:rFonts w:eastAsia="仿宋_GB2312"/>
                <w:b w:val="0"/>
                <w:bCs w:val="0"/>
                <w:kern w:val="0"/>
                <w:sz w:val="28"/>
                <w:szCs w:val="28"/>
              </w:rPr>
              <w:t>√</w:t>
            </w:r>
          </w:p>
        </w:tc>
        <w:tc>
          <w:tcPr>
            <w:tcW w:w="1517" w:type="dxa"/>
            <w:vAlign w:val="center"/>
          </w:tcPr>
          <w:p w14:paraId="2C67DD4F">
            <w:pPr>
              <w:spacing w:line="400" w:lineRule="exact"/>
              <w:jc w:val="center"/>
              <w:rPr>
                <w:rStyle w:val="26"/>
                <w:rFonts w:eastAsia="仿宋_GB2312"/>
                <w:kern w:val="0"/>
                <w:sz w:val="28"/>
                <w:szCs w:val="28"/>
              </w:rPr>
            </w:pPr>
            <w:r>
              <w:rPr>
                <w:rStyle w:val="26"/>
                <w:rFonts w:eastAsia="仿宋_GB2312"/>
                <w:kern w:val="0"/>
                <w:sz w:val="28"/>
                <w:szCs w:val="28"/>
              </w:rPr>
              <w:t>/</w:t>
            </w:r>
          </w:p>
        </w:tc>
        <w:tc>
          <w:tcPr>
            <w:tcW w:w="838" w:type="dxa"/>
            <w:vAlign w:val="center"/>
          </w:tcPr>
          <w:p w14:paraId="47EC7D47">
            <w:pPr>
              <w:spacing w:line="400" w:lineRule="exact"/>
              <w:jc w:val="center"/>
              <w:rPr>
                <w:rStyle w:val="26"/>
                <w:rFonts w:eastAsia="仿宋_GB2312"/>
                <w:kern w:val="0"/>
                <w:sz w:val="28"/>
                <w:szCs w:val="28"/>
              </w:rPr>
            </w:pPr>
            <w:r>
              <w:rPr>
                <w:rStyle w:val="26"/>
                <w:rFonts w:eastAsia="仿宋_GB2312"/>
                <w:kern w:val="0"/>
                <w:sz w:val="28"/>
                <w:szCs w:val="28"/>
              </w:rPr>
              <w:t>/</w:t>
            </w:r>
          </w:p>
        </w:tc>
        <w:tc>
          <w:tcPr>
            <w:tcW w:w="1407" w:type="dxa"/>
            <w:vAlign w:val="center"/>
          </w:tcPr>
          <w:p w14:paraId="2FB1AF32">
            <w:pPr>
              <w:spacing w:line="400" w:lineRule="exact"/>
              <w:jc w:val="center"/>
              <w:rPr>
                <w:rStyle w:val="26"/>
                <w:rFonts w:eastAsia="仿宋_GB2312"/>
                <w:kern w:val="0"/>
                <w:sz w:val="28"/>
                <w:szCs w:val="28"/>
              </w:rPr>
            </w:pPr>
            <w:r>
              <w:rPr>
                <w:rStyle w:val="26"/>
                <w:rFonts w:eastAsia="仿宋_GB2312"/>
                <w:kern w:val="0"/>
                <w:sz w:val="28"/>
                <w:szCs w:val="28"/>
              </w:rPr>
              <w:t>/</w:t>
            </w:r>
          </w:p>
        </w:tc>
        <w:tc>
          <w:tcPr>
            <w:tcW w:w="638" w:type="dxa"/>
            <w:vAlign w:val="center"/>
          </w:tcPr>
          <w:p w14:paraId="3201F212">
            <w:pPr>
              <w:spacing w:line="400" w:lineRule="exact"/>
              <w:jc w:val="center"/>
              <w:rPr>
                <w:rStyle w:val="26"/>
                <w:rFonts w:eastAsia="仿宋_GB2312"/>
                <w:kern w:val="0"/>
                <w:sz w:val="28"/>
                <w:szCs w:val="28"/>
              </w:rPr>
            </w:pPr>
            <w:r>
              <w:rPr>
                <w:rStyle w:val="26"/>
                <w:rFonts w:eastAsia="仿宋_GB2312"/>
                <w:b w:val="0"/>
                <w:bCs w:val="0"/>
                <w:kern w:val="0"/>
                <w:sz w:val="28"/>
                <w:szCs w:val="28"/>
              </w:rPr>
              <w:t>√</w:t>
            </w:r>
          </w:p>
        </w:tc>
      </w:tr>
    </w:tbl>
    <w:p w14:paraId="38C6602D">
      <w:pPr>
        <w:spacing w:line="520" w:lineRule="exact"/>
        <w:ind w:firstLine="640" w:firstLineChars="200"/>
        <w:outlineLvl w:val="2"/>
        <w:rPr>
          <w:rFonts w:ascii="Times New Roman" w:hAnsi="Times New Roman" w:eastAsia="仿宋_GB2312"/>
          <w:sz w:val="32"/>
          <w:szCs w:val="32"/>
        </w:rPr>
      </w:pPr>
    </w:p>
    <w:p w14:paraId="4C03FA60">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3.产品检验报告</w:t>
      </w:r>
    </w:p>
    <w:p w14:paraId="57351668">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3.1提供检验样品型号规格的选择依据。所检验型号规格应是能够代表本注册单元内其他型号规格的典型产品。若一个型号规格不能覆盖，除选择典型型号规格进行全性能检验外，还应选择其它型号规格产品进行补充性检验。</w:t>
      </w:r>
    </w:p>
    <w:p w14:paraId="153B9ED6">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3.2对于尺寸（如容积、宽度、高度、凸度、壳体厚度、充盈度等）差异可能影响到的相关性能，应检测最小尺寸、最大尺寸和中间常用尺寸的样品。</w:t>
      </w:r>
    </w:p>
    <w:p w14:paraId="3F154F1C">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3.3不同结构的产品，如圆形/解剖形等，应分别检测结构差异所影响到的相关性能。若结构差异过于微小不足以影响产品的性能，则选择结构最为复杂的</w:t>
      </w:r>
      <w:r>
        <w:rPr>
          <w:rFonts w:ascii="Times New Roman" w:hAnsi="Times New Roman" w:eastAsia="仿宋_GB2312"/>
          <w:sz w:val="32"/>
          <w:szCs w:val="32"/>
        </w:rPr>
        <w:t>样品进行检测。</w:t>
      </w:r>
    </w:p>
    <w:p w14:paraId="3B62267F">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4.产品性能研究</w:t>
      </w:r>
    </w:p>
    <w:p w14:paraId="6EE14EB2">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4.1</w:t>
      </w:r>
      <w:r>
        <w:rPr>
          <w:rFonts w:ascii="Times New Roman" w:hAnsi="Times New Roman" w:eastAsia="仿宋_GB2312"/>
          <w:bCs/>
          <w:sz w:val="32"/>
          <w:szCs w:val="32"/>
        </w:rPr>
        <w:t>说明产品技术要求中性能指标及检验方法的确定依据，提供采用的原因及理论基础。依据产品性能研究结果、相关国家/行业标准，结合临床需求制定性能指标接受标准。对于自建方法，宜提供相应的依据和/或方法学验证资料。</w:t>
      </w:r>
    </w:p>
    <w:p w14:paraId="779CCE99">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4.2性能研究资料至少包括以下内容：</w:t>
      </w:r>
    </w:p>
    <w:p w14:paraId="7680F84C">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4.2.1性能研究汇总列表，包括研究项目、接受标准、试验方法简述、参考技术文件、测试型号规格、测试样品批号、样品数量等。</w:t>
      </w:r>
    </w:p>
    <w:p w14:paraId="18CB41F1">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4.2.2各研究项目的接受标准及确定依据。</w:t>
      </w:r>
    </w:p>
    <w:p w14:paraId="22E9702A">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4.2.3各研究项目的具体试验方法。</w:t>
      </w:r>
    </w:p>
    <w:p w14:paraId="67CED781">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4.2.4典型型号规格及选择依据，不同研究项目选择的典型型号规格不同时，宜分别明确。</w:t>
      </w:r>
    </w:p>
    <w:p w14:paraId="2DCC0FB4">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4.2.5研究项目所用样品数量及确定依据，每个研究项目宜分别明确样品数量。若相关标准有具体的数量要求，执行相关规定。</w:t>
      </w:r>
    </w:p>
    <w:p w14:paraId="40A987B2">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4.2.6研究结果及分析、研究结论。如为定量指标，宜采用数值表示结果，提供测试值总结。</w:t>
      </w:r>
    </w:p>
    <w:p w14:paraId="0082A705">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4.3乳房植入体性能研究项目宜考虑但不限于附录表1所列项目。对于表1列举的项目中，如有不适用项，亦应说明具体理由。性能研究宜采用终产品，选择典型型号规格，研究项目所用样品数量宜适当，同时结合风险和危害情况确定数量。如受试验条件等因素影响，未使用终产品时，需提供合理性分析，确认未对试验结果及结论产生影响。</w:t>
      </w:r>
    </w:p>
    <w:p w14:paraId="3D421A3C">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4.4对部分性能研究项目的说明</w:t>
      </w:r>
    </w:p>
    <w:p w14:paraId="7B9C6719">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4.4.1硅橡胶壳体及硅凝胶填充物的浸提试验：在37</w:t>
      </w:r>
      <w:r>
        <w:rPr>
          <w:rFonts w:ascii="Times New Roman" w:hAnsi="Times New Roman"/>
          <w:sz w:val="32"/>
          <w:szCs w:val="32"/>
          <w:lang w:eastAsia="ja-JP"/>
        </w:rPr>
        <w:t>℃</w:t>
      </w:r>
      <w:r>
        <w:rPr>
          <w:rFonts w:ascii="Times New Roman" w:hAnsi="Times New Roman" w:eastAsia="仿宋_GB2312"/>
          <w:sz w:val="32"/>
          <w:szCs w:val="32"/>
        </w:rPr>
        <w:t>±2</w:t>
      </w:r>
      <w:r>
        <w:rPr>
          <w:rFonts w:ascii="Times New Roman" w:hAnsi="Times New Roman"/>
          <w:sz w:val="32"/>
          <w:szCs w:val="32"/>
          <w:lang w:eastAsia="ja-JP"/>
        </w:rPr>
        <w:t>℃</w:t>
      </w:r>
      <w:r>
        <w:rPr>
          <w:rFonts w:ascii="Times New Roman" w:hAnsi="Times New Roman" w:eastAsia="仿宋_GB2312"/>
          <w:sz w:val="32"/>
          <w:szCs w:val="32"/>
        </w:rPr>
        <w:t>或更有利于充分浸提的条件下对样品进行一种极性溶剂（例如水浸提）和一种非极性溶剂（例如正己烷）的浸提试验，对浸提物质进行定性和定量分析（如使用傅立叶红外光谱、紫外分光光度仪等），残留单体（环状或线性低聚硅氧烷）分析（如使用气相色谱仪、气质联用仪等）等。</w:t>
      </w:r>
    </w:p>
    <w:p w14:paraId="2F581C06">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4.4.2硅橡胶壳体及硅凝胶填充物的挥发性组分：对挥发物进行分析（建议使用顶空的气相色谱仪或气质联用仪）。</w:t>
      </w:r>
    </w:p>
    <w:p w14:paraId="7B1ACA1E">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4.4.3硅橡胶及硅凝胶的金属催化剂：明确制备硅橡胶所用的金属催化剂的价态，并测定其残留量。</w:t>
      </w:r>
    </w:p>
    <w:p w14:paraId="48114559">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4.4.4硅橡胶及硅凝胶的硫化程度：提供三个不同批次硅橡胶壳体、硅凝胶填充物的硫化程度，以考查不同批次的硫化程度的均匀一致性。测定硫化程度的方法有：测量低应变下的杨氏模量（与硫化程度成正比），或在良溶剂中测量聚合成分的平衡溶胀率，或测定总浸提物中未反应的硫化剂。</w:t>
      </w:r>
    </w:p>
    <w:p w14:paraId="1C9395C9">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4.4.5渗出（扩散）试验：渗出试验只针对硅凝胶填充乳房植入体或其他非生理盐水填充物乳房植入体，是指硅凝胶等填充物中的低分子量组分或其他低分子量物质从完整无损的壳体中扩散出来。参照YY/T 0647《无源外科植入物 乳房植入物的专用要求》对乳房植入体在模拟体内环境中进行渗出试验。如预知其他元素渗出，也应该对这些元素进行检测。</w:t>
      </w:r>
    </w:p>
    <w:p w14:paraId="5B542CE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4.4.6生产过程中加工助剂的残留量控制：详述乳房植入体生产工艺中各种加工助剂的使用情况，对残留单体或小分子残留物的控制情况等。</w:t>
      </w:r>
    </w:p>
    <w:p w14:paraId="1D51BF6F">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4.4.7老化性能：老化后乳房植入体性能应至少考虑以下方面，若不适用提供充分依据：壳体扯断伸长率、壳体拉伸永久形变、壳体连接接缝或封口的强度、壳体耐磨性能、凝胶内聚力、硅凝胶针入度、抗冲击性能、疲劳性能、渗出（扩散）试验、阀泄漏（适用时）、注射部位泄漏（适用时）、附件使用性能（适用时）。</w:t>
      </w:r>
    </w:p>
    <w:p w14:paraId="68D89EA8">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4.4.8其他填充物乳房植入体的性能要求：</w:t>
      </w:r>
    </w:p>
    <w:p w14:paraId="4EF849C7">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使用非硅凝胶或生理盐水的填充物，应提供壳体性能和完整性的长期资料，以评价填充材料与壳体材料之间的相容性。填充物为聚合物时，应提供聚合物名称、配方、纯化方法、完整的物理和化学性能（包括结构分析、分子量、交联度、黏度等）以及浸提试验，对痕量金属、重金属和浸出物进行定量分析。填充物为非聚合物时，应给出填充物名称、成分、纯化方法、完整的物理和化学特性。</w:t>
      </w:r>
    </w:p>
    <w:p w14:paraId="60C57720">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5.生物学特性研究</w:t>
      </w:r>
    </w:p>
    <w:p w14:paraId="70157901">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乳房植入体属于与组织持久接触的植入性医疗器械，应按照GB/T 16886《医疗器械生物学评价》、YY/T 0647《无源外科植入物 乳房植入物的专用要求》、GB/T 16175《医用有机硅材料生物学评价试验方法》进行生物学评价或试验，需考虑的生物相容性风险包括但不限于：细胞毒性、致敏、刺激或皮内反应、急性全身毒性、亚急性全身毒性、亚慢性全身毒性、慢性全身毒性、植入后局部反应、遗传毒性、生殖毒性、免疫毒性、致癌性、材料介导致热性等。</w:t>
      </w:r>
    </w:p>
    <w:p w14:paraId="07FC4755">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建议分别对硅橡胶壳体和硅凝胶填充物进行生物学评价。建议开展生物学评价时将植入物表面特性作为重要的考虑因素对所选取样品的代表性进行充分论证。</w:t>
      </w:r>
    </w:p>
    <w:p w14:paraId="575D4471">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结合产品植入体内渗出的物质进行分析评估，建议参照GB/T 16886.16提供相关物质的毒代动力学资料，包括在体内的转移、分布和排除的情况。</w:t>
      </w:r>
    </w:p>
    <w:p w14:paraId="01D76123">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6.灭菌工艺研究</w:t>
      </w:r>
    </w:p>
    <w:p w14:paraId="24AE41B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明确灭菌工艺（如干热灭菌等）和无菌保证水平（SAL）。乳房植入体的无菌保证水平（SAL）需达到10</w:t>
      </w:r>
      <w:r>
        <w:rPr>
          <w:rFonts w:ascii="Times New Roman" w:hAnsi="Times New Roman" w:eastAsia="仿宋_GB2312"/>
          <w:sz w:val="32"/>
          <w:szCs w:val="32"/>
          <w:vertAlign w:val="superscript"/>
        </w:rPr>
        <w:t>-6</w:t>
      </w:r>
      <w:r>
        <w:rPr>
          <w:rFonts w:ascii="Times New Roman" w:hAnsi="Times New Roman" w:eastAsia="仿宋_GB2312"/>
          <w:sz w:val="32"/>
          <w:szCs w:val="32"/>
        </w:rPr>
        <w:t>。参考灭菌相关标准等提供灭菌确认报告。若产品经灭菌后可能产生残留物质，应当对灭菌后的产品进行残留物毒性的研究并提供相关研究资料，包括残留物信息、采取的处理方法、最高残留上限及其依据。对于经辐照灭菌的产品，明确辐照剂量并提供其确定依据。提供乳房植入体对灭菌工艺耐受性的支持性资料。</w:t>
      </w:r>
    </w:p>
    <w:p w14:paraId="22AFA49C">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7.</w:t>
      </w:r>
      <w:r>
        <w:rPr>
          <w:rFonts w:ascii="Times New Roman" w:hAnsi="Times New Roman" w:eastAsia="仿宋_GB2312"/>
          <w:bCs/>
          <w:sz w:val="32"/>
          <w:szCs w:val="32"/>
        </w:rPr>
        <w:t>动物试验研究</w:t>
      </w:r>
    </w:p>
    <w:p w14:paraId="7BA13A8A">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参照《医疗器械动物试验研究注册审查指导原则 第一部分：决策原则》确定是否需要进行动物试验。若经决策需进行动物试验，参照《医疗器械动物试验研究注册审查指导原则 第二部分：试验设计、实施质量保证》设计并开展动物试验，提供规范的动物试验研究资料。</w:t>
      </w:r>
    </w:p>
    <w:p w14:paraId="7CC1E3A5">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8.稳定性研究</w:t>
      </w:r>
    </w:p>
    <w:p w14:paraId="722A5900">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8.1货架有效期</w:t>
      </w:r>
    </w:p>
    <w:p w14:paraId="7F70854D">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可参考《无源植入性医疗器械稳定性研究指导原则》提供乳房植入体货架有效期和包装研究资料报告</w:t>
      </w:r>
      <w:r>
        <w:rPr>
          <w:rFonts w:ascii="Times New Roman" w:hAnsi="Times New Roman" w:eastAsia="仿宋_GB2312"/>
          <w:bCs/>
          <w:sz w:val="32"/>
          <w:szCs w:val="32"/>
        </w:rPr>
        <w:t>。</w:t>
      </w:r>
      <w:r>
        <w:rPr>
          <w:rFonts w:ascii="Times New Roman" w:hAnsi="Times New Roman" w:eastAsia="仿宋_GB2312"/>
          <w:bCs/>
          <w:kern w:val="0"/>
          <w:sz w:val="32"/>
          <w:szCs w:val="32"/>
        </w:rPr>
        <w:t>产品性能稳定性验证需选择与乳房植入体货架有效期密切相关的物理化学性能项目、无菌项目。</w:t>
      </w:r>
    </w:p>
    <w:p w14:paraId="1796DEC8">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8.2</w:t>
      </w:r>
      <w:r>
        <w:rPr>
          <w:rFonts w:ascii="Times New Roman" w:hAnsi="Times New Roman" w:eastAsia="仿宋_GB2312"/>
          <w:bCs/>
          <w:sz w:val="32"/>
          <w:szCs w:val="32"/>
        </w:rPr>
        <w:t>使用稳定性</w:t>
      </w:r>
    </w:p>
    <w:p w14:paraId="0B8FAC8F">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乳房植入体使用稳定性是指在生产企业规定的预期寿命内，在正常使用情况下，产品的性能功能维持稳定以满足使用要求。注册申请人宜给出乳房植入体的预期寿命，如植入10年时的耐久百分比等，并提供使用稳定性研究资料。</w:t>
      </w:r>
      <w:bookmarkStart w:id="10" w:name="OLE_LINK2"/>
      <w:r>
        <w:rPr>
          <w:rFonts w:ascii="Times New Roman" w:hAnsi="Times New Roman" w:eastAsia="仿宋_GB2312"/>
          <w:bCs/>
          <w:sz w:val="32"/>
          <w:szCs w:val="32"/>
        </w:rPr>
        <w:t>性能研究资料、临床评价资料中的相关证据可用于支持产品的使用稳定性。</w:t>
      </w:r>
    </w:p>
    <w:bookmarkEnd w:id="10"/>
    <w:p w14:paraId="1BF20758">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8.3</w:t>
      </w:r>
      <w:r>
        <w:rPr>
          <w:rFonts w:ascii="Times New Roman" w:hAnsi="Times New Roman" w:eastAsia="仿宋_GB2312"/>
          <w:bCs/>
          <w:sz w:val="32"/>
          <w:szCs w:val="32"/>
        </w:rPr>
        <w:t>运输稳定性</w:t>
      </w:r>
    </w:p>
    <w:p w14:paraId="500C7A49">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供运输稳定性证明在注册申请人规定的运输条件下，运输过程中的环境条件不会对医疗器械的特性和性能、包装系统性能造成不利影响。根据适用情况可选择人工搬运、堆码、振动、低气压、集中冲击等模拟运输试验。</w:t>
      </w:r>
    </w:p>
    <w:p w14:paraId="7017A767">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8.4若使用非硅凝胶或生理盐水的其他填充物，其他聚合物或非聚合物的稳定性可能未知，因此含有其他填充物的乳房植入体应提供实时稳定性试验资料。在试验报告中应显示时间或温度对填充材料的物理性能和化学成分的影响，这些影响包括（不限于）壳体和凝胶的力学性能稳定性、化学性能稳定性（浸提试验、红外、凝胶的分子量分布等）。</w:t>
      </w:r>
    </w:p>
    <w:p w14:paraId="7FE80C1F">
      <w:pPr>
        <w:kinsoku w:val="0"/>
        <w:wordWrap w:val="0"/>
        <w:overflowPunct w:val="0"/>
        <w:topLinePunct/>
        <w:autoSpaceDE w:val="0"/>
        <w:autoSpaceDN w:val="0"/>
        <w:spacing w:line="520" w:lineRule="exact"/>
        <w:ind w:firstLine="640" w:firstLineChars="200"/>
        <w:outlineLvl w:val="1"/>
        <w:rPr>
          <w:rFonts w:ascii="Times New Roman" w:hAnsi="Times New Roman" w:eastAsia="楷体"/>
          <w:sz w:val="32"/>
          <w:szCs w:val="32"/>
        </w:rPr>
      </w:pPr>
      <w:r>
        <w:rPr>
          <w:rFonts w:ascii="Times New Roman" w:hAnsi="Times New Roman" w:eastAsia="楷体"/>
          <w:sz w:val="32"/>
          <w:szCs w:val="32"/>
        </w:rPr>
        <w:t>（四）临床评价资料</w:t>
      </w:r>
    </w:p>
    <w:p w14:paraId="238EA8E2">
      <w:pPr>
        <w:kinsoku w:val="0"/>
        <w:wordWrap w:val="0"/>
        <w:overflowPunct w:val="0"/>
        <w:topLinePunct/>
        <w:autoSpaceDE w:val="0"/>
        <w:autoSpaceDN w:val="0"/>
        <w:spacing w:line="520" w:lineRule="exact"/>
        <w:ind w:firstLine="640" w:firstLineChars="200"/>
        <w:rPr>
          <w:rFonts w:ascii="Times New Roman" w:hAnsi="Times New Roman" w:eastAsia="仿宋_GB2312"/>
          <w:kern w:val="44"/>
          <w:sz w:val="32"/>
          <w:szCs w:val="32"/>
        </w:rPr>
      </w:pPr>
      <w:r>
        <w:rPr>
          <w:rFonts w:ascii="Times New Roman" w:hAnsi="Times New Roman" w:eastAsia="仿宋_GB2312"/>
          <w:kern w:val="44"/>
          <w:sz w:val="32"/>
          <w:szCs w:val="32"/>
        </w:rPr>
        <w:t>按照《医疗器械临床评价技术指导原则》及相关的文件要求提交临床评价资料。</w:t>
      </w:r>
    </w:p>
    <w:p w14:paraId="2CEDE279">
      <w:pPr>
        <w:pStyle w:val="6"/>
        <w:kinsoku w:val="0"/>
        <w:wordWrap w:val="0"/>
        <w:overflowPunct w:val="0"/>
        <w:topLinePunct/>
        <w:autoSpaceDE w:val="0"/>
        <w:autoSpaceDN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kern w:val="44"/>
          <w:sz w:val="32"/>
          <w:szCs w:val="32"/>
        </w:rPr>
        <w:t>除《决策是否开展医疗器械临床试验技术指导原则》中提出的可免于临床试验的情形外，该类产品均需开展临床试验。</w:t>
      </w:r>
      <w:r>
        <w:rPr>
          <w:rFonts w:ascii="Times New Roman" w:hAnsi="Times New Roman" w:eastAsia="仿宋_GB2312" w:cs="Times New Roman"/>
          <w:bCs/>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注册申请人如有境外临床试验数据，可参照《接受医疗器械境外临床试验数据技术指导原则》的要求提交相关资料。</w:t>
      </w:r>
    </w:p>
    <w:p w14:paraId="682BC390">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1.乳房植入体的适用范围</w:t>
      </w:r>
    </w:p>
    <w:p w14:paraId="6C8020EA">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乳房植入体的适用范围一般涉及四种方面：隆乳、乳房再造、隆乳后植入物更换、再造后植入物更换。由于存在单个受试者两侧乳房因不同原因进行不同预期用途的乳房植入的情况，因此每个受试者和每个乳房植入体都需记录并分析数据。</w:t>
      </w:r>
    </w:p>
    <w:p w14:paraId="66750AA9">
      <w:pPr>
        <w:pStyle w:val="30"/>
        <w:widowControl/>
        <w:kinsoku w:val="0"/>
        <w:wordWrap w:val="0"/>
        <w:overflowPunct w:val="0"/>
        <w:topLinePunct/>
        <w:spacing w:line="520" w:lineRule="exact"/>
        <w:ind w:firstLine="640" w:firstLineChars="200"/>
        <w:rPr>
          <w:rFonts w:eastAsia="仿宋_GB2312"/>
          <w:kern w:val="2"/>
          <w:sz w:val="32"/>
          <w:szCs w:val="32"/>
        </w:rPr>
      </w:pPr>
      <w:r>
        <w:rPr>
          <w:rFonts w:eastAsia="仿宋_GB2312"/>
          <w:kern w:val="2"/>
          <w:sz w:val="32"/>
          <w:szCs w:val="32"/>
        </w:rPr>
        <w:t>在临床试验开始时按受试者进行乳房植入时最初的</w:t>
      </w:r>
      <w:r>
        <w:rPr>
          <w:rFonts w:eastAsia="仿宋_GB2312"/>
          <w:sz w:val="32"/>
          <w:szCs w:val="32"/>
        </w:rPr>
        <w:t>预期用途</w:t>
      </w:r>
      <w:r>
        <w:rPr>
          <w:rFonts w:eastAsia="仿宋_GB2312"/>
          <w:kern w:val="2"/>
          <w:sz w:val="32"/>
          <w:szCs w:val="32"/>
        </w:rPr>
        <w:t>对受试者和乳房植入体进行如下分类：</w:t>
      </w:r>
    </w:p>
    <w:p w14:paraId="28752D12">
      <w:pPr>
        <w:pStyle w:val="29"/>
        <w:widowControl/>
        <w:tabs>
          <w:tab w:val="left" w:pos="1080"/>
        </w:tabs>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1.1如果乳房再造的受试者做了健侧的隆乳，则应将此受试者归为乳房再造。而乳房植入体则应归为一个隆乳，一个乳房再造。</w:t>
      </w:r>
    </w:p>
    <w:p w14:paraId="6CABF57E">
      <w:pPr>
        <w:pStyle w:val="29"/>
        <w:widowControl/>
        <w:tabs>
          <w:tab w:val="left" w:pos="1080"/>
        </w:tabs>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1.2如果隆乳后植入物更换的受试者做了健侧的隆乳，则应将此受试者归为隆乳后植入物更换受试者。而乳房植入体则应归为一个隆乳后植入物更换，一个隆乳。</w:t>
      </w:r>
    </w:p>
    <w:p w14:paraId="55BA15E8">
      <w:pPr>
        <w:pStyle w:val="29"/>
        <w:widowControl/>
        <w:tabs>
          <w:tab w:val="left" w:pos="1080"/>
        </w:tabs>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1.3即使乳房植入体在临床试验过程中被取出和更换（即在最初植入后），也需将此受试者和乳房植入体归入最初的预期用途（即隆乳、乳房再造、隆乳后植入物更换、再造后植入物更换）。</w:t>
      </w:r>
    </w:p>
    <w:p w14:paraId="4D0BD559">
      <w:pPr>
        <w:kinsoku w:val="0"/>
        <w:wordWrap w:val="0"/>
        <w:overflowPunct w:val="0"/>
        <w:topLinePunct/>
        <w:autoSpaceDE w:val="0"/>
        <w:autoSpaceDN w:val="0"/>
        <w:spacing w:line="520" w:lineRule="exact"/>
        <w:ind w:firstLine="640" w:firstLineChars="200"/>
        <w:outlineLvl w:val="2"/>
        <w:rPr>
          <w:rStyle w:val="27"/>
          <w:rFonts w:eastAsia="仿宋_GB2312"/>
          <w:kern w:val="0"/>
          <w:sz w:val="32"/>
          <w:szCs w:val="32"/>
        </w:rPr>
      </w:pPr>
      <w:r>
        <w:rPr>
          <w:rStyle w:val="27"/>
          <w:rFonts w:eastAsia="仿宋_GB2312"/>
          <w:kern w:val="0"/>
          <w:sz w:val="32"/>
          <w:szCs w:val="32"/>
        </w:rPr>
        <w:t>2.试验设计</w:t>
      </w:r>
    </w:p>
    <w:p w14:paraId="5AE85FCF">
      <w:pPr>
        <w:pStyle w:val="28"/>
        <w:widowControl/>
        <w:kinsoku w:val="0"/>
        <w:wordWrap w:val="0"/>
        <w:overflowPunct w:val="0"/>
        <w:topLinePunct/>
        <w:spacing w:line="520" w:lineRule="exact"/>
        <w:ind w:firstLine="640" w:firstLineChars="200"/>
        <w:jc w:val="both"/>
        <w:rPr>
          <w:rStyle w:val="27"/>
          <w:rFonts w:eastAsia="仿宋_GB2312"/>
          <w:kern w:val="2"/>
          <w:sz w:val="32"/>
          <w:szCs w:val="32"/>
        </w:rPr>
      </w:pPr>
      <w:r>
        <w:rPr>
          <w:rStyle w:val="27"/>
          <w:rFonts w:eastAsia="仿宋_GB2312"/>
          <w:sz w:val="32"/>
          <w:szCs w:val="32"/>
        </w:rPr>
        <w:t>2.1建议采用平行对照设计，对照组应选择在境内已获准上市的类似的乳房植入体。试验组和对照组采用统一的入选标准和排除标准，临床观察及随访时间应相同。</w:t>
      </w:r>
    </w:p>
    <w:p w14:paraId="2E8E6AC0">
      <w:pPr>
        <w:pStyle w:val="28"/>
        <w:widowControl/>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2.2如果不采用随机平行对照，则需提供不采用随机平行对照的原因，此时应采用单组目标值法进行统计，目标值需以大量文献报道的公认的安全性和有效性数据确认。</w:t>
      </w:r>
    </w:p>
    <w:p w14:paraId="0BF6BD21">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3.主要评价指标</w:t>
      </w:r>
    </w:p>
    <w:p w14:paraId="6627AC96">
      <w:pPr>
        <w:pStyle w:val="31"/>
        <w:widowControl/>
        <w:kinsoku w:val="0"/>
        <w:wordWrap w:val="0"/>
        <w:overflowPunct w:val="0"/>
        <w:topLinePunct/>
        <w:spacing w:line="520" w:lineRule="exact"/>
        <w:ind w:firstLine="627" w:firstLineChars="196"/>
        <w:jc w:val="both"/>
        <w:rPr>
          <w:rFonts w:eastAsia="仿宋_GB2312"/>
          <w:kern w:val="2"/>
          <w:sz w:val="32"/>
          <w:szCs w:val="32"/>
        </w:rPr>
      </w:pPr>
      <w:r>
        <w:rPr>
          <w:rFonts w:eastAsia="仿宋_GB2312"/>
          <w:kern w:val="2"/>
          <w:sz w:val="32"/>
          <w:szCs w:val="32"/>
        </w:rPr>
        <w:t>对于乳房植入体来说，破裂和包膜挛缩（Baker分级</w:t>
      </w:r>
      <w:r>
        <w:rPr>
          <w:kern w:val="2"/>
          <w:sz w:val="32"/>
          <w:szCs w:val="32"/>
        </w:rPr>
        <w:t>Ⅲ</w:t>
      </w:r>
      <w:r>
        <w:rPr>
          <w:rFonts w:eastAsia="仿宋_GB2312"/>
          <w:kern w:val="2"/>
          <w:sz w:val="32"/>
          <w:szCs w:val="32"/>
        </w:rPr>
        <w:t>、</w:t>
      </w:r>
      <w:r>
        <w:rPr>
          <w:kern w:val="2"/>
          <w:sz w:val="32"/>
          <w:szCs w:val="32"/>
        </w:rPr>
        <w:t>Ⅳ</w:t>
      </w:r>
      <w:r>
        <w:rPr>
          <w:rFonts w:eastAsia="仿宋_GB2312"/>
          <w:kern w:val="2"/>
          <w:sz w:val="32"/>
          <w:szCs w:val="32"/>
        </w:rPr>
        <w:t>级）为临床主要评价指标。</w:t>
      </w:r>
      <w:r>
        <w:rPr>
          <w:rFonts w:eastAsia="仿宋_GB2312"/>
          <w:sz w:val="32"/>
          <w:szCs w:val="32"/>
        </w:rPr>
        <w:t>对于</w:t>
      </w:r>
      <w:r>
        <w:rPr>
          <w:rFonts w:eastAsia="仿宋_GB2312"/>
          <w:bCs/>
          <w:sz w:val="32"/>
          <w:szCs w:val="32"/>
        </w:rPr>
        <w:t>硅凝胶填充乳房植入体,主要评价指标为植入后3年的</w:t>
      </w:r>
      <w:r>
        <w:rPr>
          <w:rFonts w:eastAsia="仿宋_GB2312"/>
          <w:kern w:val="2"/>
          <w:sz w:val="32"/>
          <w:szCs w:val="32"/>
        </w:rPr>
        <w:t>破裂和包膜挛缩</w:t>
      </w:r>
      <w:r>
        <w:rPr>
          <w:rFonts w:eastAsia="仿宋_GB2312"/>
          <w:sz w:val="32"/>
          <w:szCs w:val="32"/>
        </w:rPr>
        <w:t>；对于</w:t>
      </w:r>
      <w:r>
        <w:rPr>
          <w:rFonts w:eastAsia="仿宋_GB2312"/>
          <w:bCs/>
          <w:sz w:val="32"/>
          <w:szCs w:val="32"/>
        </w:rPr>
        <w:t>生理盐水填充乳房植入体，主要评价指标为植入后2年的</w:t>
      </w:r>
      <w:r>
        <w:rPr>
          <w:rFonts w:eastAsia="仿宋_GB2312"/>
          <w:kern w:val="2"/>
          <w:sz w:val="32"/>
          <w:szCs w:val="32"/>
        </w:rPr>
        <w:t>破裂和包膜挛缩</w:t>
      </w:r>
      <w:r>
        <w:rPr>
          <w:rFonts w:eastAsia="仿宋_GB2312"/>
          <w:sz w:val="32"/>
          <w:szCs w:val="32"/>
        </w:rPr>
        <w:t>。</w:t>
      </w:r>
    </w:p>
    <w:p w14:paraId="2C4578D4">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kern w:val="0"/>
          <w:sz w:val="32"/>
          <w:szCs w:val="32"/>
        </w:rPr>
        <w:t>4.</w:t>
      </w:r>
      <w:r>
        <w:rPr>
          <w:rFonts w:ascii="Times New Roman" w:hAnsi="Times New Roman" w:eastAsia="仿宋_GB2312"/>
          <w:sz w:val="32"/>
          <w:szCs w:val="32"/>
        </w:rPr>
        <w:t>次要有效性评价指标</w:t>
      </w:r>
    </w:p>
    <w:p w14:paraId="566EFF90">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kern w:val="0"/>
          <w:sz w:val="32"/>
          <w:szCs w:val="32"/>
        </w:rPr>
        <w:t>4.1</w:t>
      </w:r>
      <w:r>
        <w:rPr>
          <w:rFonts w:ascii="Times New Roman" w:hAnsi="Times New Roman" w:eastAsia="仿宋_GB2312"/>
          <w:sz w:val="32"/>
          <w:szCs w:val="32"/>
        </w:rPr>
        <w:t>受试者感受综合评分（PRO）</w:t>
      </w:r>
    </w:p>
    <w:p w14:paraId="2509E407">
      <w:pPr>
        <w:pStyle w:val="28"/>
        <w:widowControl/>
        <w:kinsoku w:val="0"/>
        <w:wordWrap w:val="0"/>
        <w:overflowPunct w:val="0"/>
        <w:topLinePunct/>
        <w:spacing w:line="520" w:lineRule="exact"/>
        <w:ind w:firstLine="640" w:firstLineChars="200"/>
        <w:jc w:val="both"/>
        <w:rPr>
          <w:rStyle w:val="27"/>
          <w:rFonts w:eastAsia="仿宋_GB2312"/>
          <w:kern w:val="2"/>
          <w:sz w:val="32"/>
          <w:szCs w:val="32"/>
        </w:rPr>
      </w:pPr>
      <w:r>
        <w:rPr>
          <w:rStyle w:val="27"/>
          <w:rFonts w:eastAsia="仿宋_GB2312"/>
          <w:sz w:val="32"/>
          <w:szCs w:val="32"/>
        </w:rPr>
        <w:t>在术前的时间点以及在术后第1、第3、第5年的时间点对所有受试者进行PRO评价，</w:t>
      </w:r>
      <w:r>
        <w:rPr>
          <w:rStyle w:val="27"/>
          <w:rFonts w:eastAsia="仿宋_GB2312"/>
          <w:sz w:val="32"/>
          <w:szCs w:val="32"/>
          <w:lang w:val="zh-CN"/>
        </w:rPr>
        <w:t>收集PRO评价的结果，以评价乳房植入体的效果。</w:t>
      </w:r>
      <w:r>
        <w:rPr>
          <w:rStyle w:val="27"/>
          <w:rFonts w:eastAsia="仿宋_GB2312"/>
          <w:sz w:val="32"/>
          <w:szCs w:val="32"/>
        </w:rPr>
        <w:t>对乳房再造受试者，需描述植入手术的时间（延迟植入或即刻植入）。</w:t>
      </w:r>
      <w:r>
        <w:rPr>
          <w:rStyle w:val="27"/>
          <w:rFonts w:eastAsia="仿宋_GB2312"/>
          <w:sz w:val="32"/>
          <w:szCs w:val="32"/>
          <w:lang w:val="zh-CN"/>
        </w:rPr>
        <w:t>这些评价包括但不限于：</w:t>
      </w:r>
      <w:r>
        <w:rPr>
          <w:rStyle w:val="27"/>
          <w:rFonts w:eastAsia="仿宋_GB2312"/>
          <w:sz w:val="32"/>
          <w:szCs w:val="32"/>
        </w:rPr>
        <w:t>自尊心的评价（如罗森伯格自尊量表或田纳西州自我观念量表）；身体形象的评价（如身体自尊量表）；一般健康状况的评价（如SF-36量表，医学结果研究（MOS）20项健康调查表）。</w:t>
      </w:r>
    </w:p>
    <w:p w14:paraId="5ADE825B">
      <w:pPr>
        <w:kinsoku w:val="0"/>
        <w:wordWrap w:val="0"/>
        <w:overflowPunct w:val="0"/>
        <w:topLinePunct/>
        <w:autoSpaceDE w:val="0"/>
        <w:autoSpaceDN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4.2满意度</w:t>
      </w:r>
    </w:p>
    <w:p w14:paraId="3A7028BA">
      <w:pPr>
        <w:pStyle w:val="28"/>
        <w:widowControl/>
        <w:kinsoku w:val="0"/>
        <w:wordWrap w:val="0"/>
        <w:overflowPunct w:val="0"/>
        <w:topLinePunct/>
        <w:spacing w:line="520" w:lineRule="exact"/>
        <w:ind w:firstLine="640" w:firstLineChars="200"/>
        <w:jc w:val="both"/>
        <w:rPr>
          <w:rStyle w:val="27"/>
          <w:rFonts w:eastAsia="仿宋_GB2312"/>
          <w:kern w:val="2"/>
          <w:sz w:val="32"/>
          <w:szCs w:val="32"/>
        </w:rPr>
      </w:pPr>
      <w:r>
        <w:rPr>
          <w:rStyle w:val="27"/>
          <w:rFonts w:eastAsia="仿宋_GB2312"/>
          <w:sz w:val="32"/>
          <w:szCs w:val="32"/>
        </w:rPr>
        <w:t>受试者报告的满意度度量需包括以下方面：术前预期；初次手术操作；辅助手术和医学操作；并发症；乳房植入体的摘除，不管该植入物是否被替换；是否达到了乳房植入体预期的效果；受试者是否需要重新手术。</w:t>
      </w:r>
    </w:p>
    <w:p w14:paraId="7417539C">
      <w:pPr>
        <w:pStyle w:val="28"/>
        <w:widowControl/>
        <w:kinsoku w:val="0"/>
        <w:wordWrap w:val="0"/>
        <w:overflowPunct w:val="0"/>
        <w:topLinePunct/>
        <w:spacing w:line="520" w:lineRule="exact"/>
        <w:ind w:firstLine="640" w:firstLineChars="200"/>
        <w:jc w:val="both"/>
        <w:rPr>
          <w:rStyle w:val="27"/>
          <w:rFonts w:eastAsia="仿宋_GB2312"/>
          <w:kern w:val="2"/>
          <w:sz w:val="32"/>
          <w:szCs w:val="32"/>
        </w:rPr>
      </w:pPr>
      <w:r>
        <w:rPr>
          <w:rStyle w:val="27"/>
          <w:rFonts w:eastAsia="仿宋_GB2312"/>
          <w:sz w:val="32"/>
          <w:szCs w:val="32"/>
        </w:rPr>
        <w:t>对于植入手术后反映不满意的受试者，需规定记录如下信息：不满意的详细原因；并发症的存在与否、严重程度、状态（即解决或未解决），以及解决的办法。</w:t>
      </w:r>
    </w:p>
    <w:p w14:paraId="0A23F347">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kern w:val="0"/>
          <w:sz w:val="32"/>
          <w:szCs w:val="32"/>
        </w:rPr>
        <w:t>4.3</w:t>
      </w:r>
      <w:r>
        <w:rPr>
          <w:rFonts w:ascii="Times New Roman" w:hAnsi="Times New Roman" w:eastAsia="仿宋_GB2312"/>
          <w:bCs/>
          <w:sz w:val="32"/>
          <w:szCs w:val="32"/>
        </w:rPr>
        <w:t>解剖效果</w:t>
      </w:r>
    </w:p>
    <w:p w14:paraId="1FF03691">
      <w:pPr>
        <w:pStyle w:val="28"/>
        <w:widowControl/>
        <w:kinsoku w:val="0"/>
        <w:wordWrap w:val="0"/>
        <w:overflowPunct w:val="0"/>
        <w:topLinePunct/>
        <w:spacing w:line="520" w:lineRule="exact"/>
        <w:ind w:firstLine="656" w:firstLineChars="205"/>
        <w:jc w:val="both"/>
        <w:rPr>
          <w:rStyle w:val="27"/>
          <w:rFonts w:eastAsia="仿宋_GB2312"/>
          <w:sz w:val="32"/>
          <w:szCs w:val="32"/>
        </w:rPr>
      </w:pPr>
      <w:r>
        <w:rPr>
          <w:rStyle w:val="27"/>
          <w:rFonts w:eastAsia="仿宋_GB2312"/>
          <w:sz w:val="32"/>
          <w:szCs w:val="32"/>
          <w:lang w:val="zh-CN"/>
        </w:rPr>
        <w:t>需规定</w:t>
      </w:r>
      <w:r>
        <w:rPr>
          <w:rStyle w:val="27"/>
          <w:rFonts w:eastAsia="仿宋_GB2312"/>
          <w:sz w:val="32"/>
          <w:szCs w:val="32"/>
        </w:rPr>
        <w:t>收集隆乳患者和隆乳后植入物更换患者的乳房植入体解剖效果数据，可通过比较前后乳罩和罩杯大小、胸围、对称性或其他标准化测量的配对分析来完成。例如，收集每个受试者的如下信息：基线、临床试验结束时乳罩杯大小的频度分布，以及与基线相比发生的变化；基线、临床试验结束时的平均胸围（±标准偏差），以及与基线相比发生的变化。</w:t>
      </w:r>
    </w:p>
    <w:p w14:paraId="2808354B">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kern w:val="0"/>
          <w:sz w:val="32"/>
          <w:szCs w:val="32"/>
        </w:rPr>
        <w:t>5.</w:t>
      </w:r>
      <w:r>
        <w:rPr>
          <w:rFonts w:ascii="Times New Roman" w:hAnsi="Times New Roman" w:eastAsia="仿宋_GB2312"/>
          <w:sz w:val="32"/>
          <w:szCs w:val="32"/>
        </w:rPr>
        <w:t>安全性评价指标</w:t>
      </w:r>
    </w:p>
    <w:p w14:paraId="72B4E150">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kern w:val="0"/>
          <w:sz w:val="32"/>
          <w:szCs w:val="32"/>
        </w:rPr>
        <w:t>5.1</w:t>
      </w:r>
      <w:r>
        <w:rPr>
          <w:rFonts w:ascii="Times New Roman" w:hAnsi="Times New Roman" w:eastAsia="仿宋_GB2312"/>
          <w:sz w:val="32"/>
          <w:szCs w:val="32"/>
        </w:rPr>
        <w:t>并发症</w:t>
      </w:r>
    </w:p>
    <w:p w14:paraId="684C8E1A">
      <w:pPr>
        <w:kinsoku w:val="0"/>
        <w:wordWrap w:val="0"/>
        <w:overflowPunct w:val="0"/>
        <w:topLinePunct/>
        <w:autoSpaceDE w:val="0"/>
        <w:autoSpaceDN w:val="0"/>
        <w:spacing w:line="520" w:lineRule="exact"/>
        <w:ind w:firstLine="640" w:firstLineChars="200"/>
        <w:rPr>
          <w:rStyle w:val="27"/>
          <w:rFonts w:eastAsia="仿宋_GB2312"/>
          <w:kern w:val="0"/>
          <w:sz w:val="32"/>
          <w:szCs w:val="32"/>
        </w:rPr>
      </w:pPr>
      <w:r>
        <w:rPr>
          <w:rStyle w:val="27"/>
          <w:rFonts w:eastAsia="仿宋_GB2312"/>
          <w:kern w:val="0"/>
          <w:sz w:val="32"/>
          <w:szCs w:val="32"/>
        </w:rPr>
        <w:t>所有并发症(无论并发症是否与乳房植入体有关)的发生率、发生时间和判定，如破裂、包膜挛缩（包括Baker分级）、感染、钙化、错位、挤出、皮肤侵蚀、坏死、淋巴结病、伤口愈合迟缓、乳房/胸/腋的团块形成、血肿、血清肿、疼痛、皱纹、不对称、瘢痕形成、乳房植入体可摸到/可见、医源性损伤等；</w:t>
      </w:r>
    </w:p>
    <w:p w14:paraId="7259DA5C">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kern w:val="0"/>
          <w:sz w:val="32"/>
          <w:szCs w:val="32"/>
        </w:rPr>
        <w:t>5.1.1</w:t>
      </w:r>
      <w:r>
        <w:rPr>
          <w:rFonts w:ascii="Times New Roman" w:hAnsi="Times New Roman" w:eastAsia="仿宋_GB2312"/>
          <w:sz w:val="32"/>
          <w:szCs w:val="32"/>
        </w:rPr>
        <w:t>关于破裂，需关注如下内容：</w:t>
      </w:r>
    </w:p>
    <w:p w14:paraId="2F42862C">
      <w:pPr>
        <w:pStyle w:val="28"/>
        <w:widowControl/>
        <w:kinsoku w:val="0"/>
        <w:wordWrap w:val="0"/>
        <w:overflowPunct w:val="0"/>
        <w:topLinePunct/>
        <w:spacing w:line="520" w:lineRule="exact"/>
        <w:ind w:firstLine="640" w:firstLineChars="200"/>
        <w:jc w:val="both"/>
        <w:rPr>
          <w:rFonts w:eastAsia="仿宋_GB2312"/>
          <w:sz w:val="32"/>
          <w:szCs w:val="32"/>
        </w:rPr>
      </w:pPr>
      <w:r>
        <w:rPr>
          <w:rStyle w:val="27"/>
          <w:rFonts w:eastAsia="仿宋_GB2312"/>
          <w:sz w:val="32"/>
          <w:szCs w:val="32"/>
        </w:rPr>
        <w:t>5.1.1.1</w:t>
      </w:r>
      <w:r>
        <w:rPr>
          <w:rStyle w:val="27"/>
          <w:rFonts w:eastAsia="仿宋_GB2312"/>
          <w:sz w:val="32"/>
          <w:szCs w:val="32"/>
          <w:lang w:val="zh-CN"/>
        </w:rPr>
        <w:t>乳房植入体破裂是填充硅凝胶的乳房植入体的主要安全因素，填充硅凝胶的乳房植入体破裂时，受试者和医生通常都不知情。破裂可能是囊内的（凝胶仍然保持在植入物周围的瘢痕组织囊内），可能是囊外的（凝胶扩散出瘢痕组织囊，但仍位于乳房组织内），也可能涉及凝胶的游走（凝胶扩散到乳房之外）。</w:t>
      </w:r>
    </w:p>
    <w:p w14:paraId="3216DE77">
      <w:pPr>
        <w:pStyle w:val="28"/>
        <w:widowControl/>
        <w:kinsoku w:val="0"/>
        <w:wordWrap w:val="0"/>
        <w:overflowPunct w:val="0"/>
        <w:topLinePunct/>
        <w:spacing w:line="520" w:lineRule="exact"/>
        <w:ind w:firstLine="640" w:firstLineChars="200"/>
        <w:jc w:val="both"/>
        <w:rPr>
          <w:rFonts w:eastAsia="仿宋_GB2312"/>
          <w:sz w:val="32"/>
          <w:szCs w:val="32"/>
        </w:rPr>
      </w:pPr>
      <w:r>
        <w:rPr>
          <w:rStyle w:val="27"/>
          <w:rFonts w:eastAsia="仿宋_GB2312"/>
          <w:sz w:val="32"/>
          <w:szCs w:val="32"/>
        </w:rPr>
        <w:t>5.1.1.2建议将</w:t>
      </w:r>
      <w:r>
        <w:rPr>
          <w:rStyle w:val="27"/>
          <w:rFonts w:eastAsia="仿宋_GB2312"/>
          <w:sz w:val="32"/>
          <w:szCs w:val="32"/>
          <w:lang w:val="zh-CN"/>
        </w:rPr>
        <w:t>磁共振成像（MRI）检查作为探测填充硅凝胶的乳房植入体无症状破裂的首选方法。需使用专用的乳房线圈来进行乳房的MRI，磁体一般需1.5特斯拉,</w:t>
      </w:r>
      <w:r>
        <w:rPr>
          <w:rStyle w:val="27"/>
          <w:rFonts w:eastAsia="仿宋_GB2312"/>
          <w:sz w:val="32"/>
          <w:szCs w:val="32"/>
        </w:rPr>
        <w:t>需</w:t>
      </w:r>
      <w:r>
        <w:rPr>
          <w:rStyle w:val="27"/>
          <w:rFonts w:eastAsia="仿宋_GB2312"/>
          <w:sz w:val="32"/>
          <w:szCs w:val="32"/>
          <w:lang w:val="zh-CN"/>
        </w:rPr>
        <w:t>由两名对乳房植入体MRI检查有经验的放射科医生共同阅片，各放射医生都应对每份MRI检查进行独立的评价，并按照确定的、疑似的/不确定的，或无/完好对是否存在破裂进行评价。</w:t>
      </w:r>
    </w:p>
    <w:p w14:paraId="5E852F02">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rPr>
        <w:t>5.1.1.3</w:t>
      </w:r>
      <w:r>
        <w:rPr>
          <w:rStyle w:val="27"/>
          <w:rFonts w:eastAsia="仿宋_GB2312"/>
          <w:sz w:val="32"/>
          <w:szCs w:val="32"/>
          <w:lang w:val="zh-CN"/>
        </w:rPr>
        <w:t>对于取出的乳房植入体，需在取出时做出最终的破裂判定。如经MRI检查为确定或不确定破裂的乳房植入体未进行取出，破裂的判定应基于MRI评价医生中最坏的阅片结果。</w:t>
      </w:r>
    </w:p>
    <w:p w14:paraId="55B7D81A">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rPr>
        <w:t>5.1.1.4</w:t>
      </w:r>
      <w:r>
        <w:rPr>
          <w:rStyle w:val="27"/>
          <w:rFonts w:eastAsia="仿宋_GB2312"/>
          <w:sz w:val="32"/>
          <w:szCs w:val="32"/>
          <w:lang w:val="zh-CN"/>
        </w:rPr>
        <w:t>所有受试者需在植入后第1、第3、第5年时接受MRI评价，确认发生破裂的相关情况是否与已批准上市的硅凝胶填充乳房植入体的标签中的推荐方法和发生频度一致,如果由于申请注册乳房植入体的力学或化学性质使得破裂无法通过MRI来观察，建议采用灵敏度和特异性与MRI可比的替代有效方法。</w:t>
      </w:r>
    </w:p>
    <w:p w14:paraId="2772E370">
      <w:pPr>
        <w:pStyle w:val="30"/>
        <w:widowControl/>
        <w:kinsoku w:val="0"/>
        <w:wordWrap w:val="0"/>
        <w:overflowPunct w:val="0"/>
        <w:topLinePunct/>
        <w:spacing w:line="520" w:lineRule="exact"/>
        <w:ind w:firstLine="640" w:firstLineChars="200"/>
        <w:rPr>
          <w:rStyle w:val="27"/>
          <w:rFonts w:eastAsia="仿宋_GB2312"/>
          <w:sz w:val="32"/>
          <w:szCs w:val="32"/>
        </w:rPr>
      </w:pPr>
      <w:r>
        <w:rPr>
          <w:rStyle w:val="27"/>
          <w:rFonts w:eastAsia="仿宋_GB2312"/>
          <w:sz w:val="32"/>
          <w:szCs w:val="32"/>
        </w:rPr>
        <w:t>5.1.1.5</w:t>
      </w:r>
      <w:r>
        <w:rPr>
          <w:rStyle w:val="27"/>
          <w:rFonts w:eastAsia="仿宋_GB2312"/>
          <w:sz w:val="32"/>
          <w:szCs w:val="32"/>
          <w:lang w:val="zh-CN"/>
        </w:rPr>
        <w:t>需规定收集如下数据，对破裂进行评价：</w:t>
      </w:r>
    </w:p>
    <w:p w14:paraId="5B5F4B11">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a.用影像诊断或其他具有相当的灵敏度和特异性的手段对受试人群进行前瞻性、连续的筛查，以获得在临床试验整个过程中的破裂发生率。</w:t>
      </w:r>
    </w:p>
    <w:p w14:paraId="44874A90">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b.观察囊内凝胶、囊外凝胶和凝胶游走的发生频度，以及所有有症状或无症状破裂乳房植入体的受试者的凝胶游走去向。</w:t>
      </w:r>
    </w:p>
    <w:p w14:paraId="7439E868">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c.详细描述所有有症状或无症状破裂乳房植入体的受试者的局部和全身健康状况，包括受试者的临床过程和其健康状况的严重程度。全身健康状况建议开展结缔组织病（CTD）的筛查。</w:t>
      </w:r>
    </w:p>
    <w:p w14:paraId="4B2346D0">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Style w:val="27"/>
          <w:kern w:val="0"/>
          <w:sz w:val="32"/>
          <w:szCs w:val="32"/>
        </w:rPr>
        <w:t>5.1.1.6</w:t>
      </w:r>
      <w:r>
        <w:rPr>
          <w:rFonts w:ascii="Times New Roman" w:hAnsi="Times New Roman" w:eastAsia="仿宋_GB2312"/>
          <w:sz w:val="32"/>
          <w:szCs w:val="32"/>
          <w:lang w:val="zh-CN"/>
        </w:rPr>
        <w:t>此外</w:t>
      </w:r>
      <w:r>
        <w:rPr>
          <w:rFonts w:ascii="Times New Roman" w:hAnsi="Times New Roman" w:eastAsia="仿宋_GB2312"/>
          <w:sz w:val="32"/>
          <w:szCs w:val="32"/>
        </w:rPr>
        <w:t>，</w:t>
      </w:r>
      <w:r>
        <w:rPr>
          <w:rFonts w:ascii="Times New Roman" w:hAnsi="Times New Roman" w:eastAsia="仿宋_GB2312"/>
          <w:sz w:val="32"/>
          <w:szCs w:val="32"/>
          <w:lang w:val="zh-CN"/>
        </w:rPr>
        <w:t>还需收集破裂事件中的发生率、患病率和</w:t>
      </w:r>
      <w:r>
        <w:rPr>
          <w:rFonts w:ascii="Times New Roman" w:hAnsi="Times New Roman" w:eastAsia="仿宋_GB2312"/>
          <w:sz w:val="32"/>
          <w:szCs w:val="32"/>
        </w:rPr>
        <w:t>Kaplan-Meier</w:t>
      </w:r>
      <w:r>
        <w:rPr>
          <w:rFonts w:ascii="Times New Roman" w:hAnsi="Times New Roman" w:eastAsia="仿宋_GB2312"/>
          <w:sz w:val="32"/>
          <w:szCs w:val="32"/>
          <w:lang w:val="zh-CN"/>
        </w:rPr>
        <w:t>率</w:t>
      </w:r>
      <w:r>
        <w:rPr>
          <w:rFonts w:ascii="Times New Roman" w:hAnsi="Times New Roman" w:eastAsia="仿宋_GB2312"/>
          <w:sz w:val="32"/>
          <w:szCs w:val="32"/>
        </w:rPr>
        <w:t>：</w:t>
      </w:r>
    </w:p>
    <w:p w14:paraId="6BBA98F4">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a.确定或不确定破裂的MRI诊断（不管是否通过摘除加以确认）。如果</w:t>
      </w:r>
      <w:r>
        <w:rPr>
          <w:rStyle w:val="27"/>
          <w:rFonts w:eastAsia="仿宋_GB2312"/>
          <w:sz w:val="32"/>
          <w:szCs w:val="32"/>
          <w:lang w:val="zh-CN"/>
        </w:rPr>
        <w:t>评价医生对MRI检查结果</w:t>
      </w:r>
      <w:r>
        <w:rPr>
          <w:rFonts w:ascii="Times New Roman" w:hAnsi="Times New Roman" w:eastAsia="仿宋_GB2312"/>
          <w:sz w:val="32"/>
          <w:szCs w:val="32"/>
        </w:rPr>
        <w:t>不一致，需按照最坏的阅片结果计入无症状破裂发生率。</w:t>
      </w:r>
    </w:p>
    <w:p w14:paraId="40CDE555">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b.摘除时记录的破裂(不管MRI作何诊断)。</w:t>
      </w:r>
    </w:p>
    <w:p w14:paraId="0EE159E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c.基于前三项来源的破裂数据的总破裂发生率。</w:t>
      </w:r>
    </w:p>
    <w:p w14:paraId="3A357C2C">
      <w:pPr>
        <w:pStyle w:val="28"/>
        <w:widowControl/>
        <w:kinsoku w:val="0"/>
        <w:wordWrap w:val="0"/>
        <w:overflowPunct w:val="0"/>
        <w:topLinePunct/>
        <w:spacing w:line="520" w:lineRule="exact"/>
        <w:ind w:firstLine="640" w:firstLineChars="200"/>
        <w:jc w:val="both"/>
        <w:rPr>
          <w:rStyle w:val="27"/>
          <w:rFonts w:eastAsia="仿宋_GB2312"/>
          <w:kern w:val="2"/>
          <w:sz w:val="32"/>
          <w:szCs w:val="32"/>
          <w:lang w:val="zh-CN"/>
        </w:rPr>
      </w:pPr>
      <w:r>
        <w:rPr>
          <w:rStyle w:val="27"/>
          <w:rFonts w:eastAsia="仿宋_GB2312"/>
          <w:sz w:val="32"/>
          <w:szCs w:val="32"/>
          <w:lang w:val="zh-CN"/>
        </w:rPr>
        <w:t>对每件疑似破裂或确定为破裂的乳房植入体，需收集与破裂有关的所有诊断操作的日期和结果的总结。收集这些诊断操作的实际报告（如MRI报告，乳腺影像报告），并收集有更换或无更换的乳房植入体的手术取出报告，以及每件疑似或确定为破裂的乳房植入体的最终状态。</w:t>
      </w:r>
    </w:p>
    <w:p w14:paraId="4172D7E3">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rFonts w:eastAsia="仿宋_GB2312"/>
          <w:sz w:val="32"/>
          <w:szCs w:val="32"/>
        </w:rPr>
        <w:t>5.1.1.7对</w:t>
      </w:r>
      <w:r>
        <w:rPr>
          <w:rStyle w:val="27"/>
          <w:rFonts w:eastAsia="仿宋_GB2312"/>
          <w:sz w:val="32"/>
          <w:szCs w:val="32"/>
          <w:lang w:val="zh-CN"/>
        </w:rPr>
        <w:t>于拟申报注册的乳房植入体，其在临床试验中植入1年的破裂率应不大于2%，植入3年的破裂率应不大于6%，植入5年的破裂率应不大于10%。</w:t>
      </w:r>
    </w:p>
    <w:p w14:paraId="3E987733">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rFonts w:eastAsia="仿宋_GB2312"/>
          <w:sz w:val="32"/>
          <w:szCs w:val="32"/>
          <w:lang w:val="zh-CN"/>
        </w:rPr>
        <w:t>对于填充非硅凝胶填充物的其它乳房植入体，也需规定按照上述步骤收集相关信息。</w:t>
      </w:r>
    </w:p>
    <w:p w14:paraId="27090960">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rFonts w:eastAsia="仿宋_GB2312"/>
          <w:sz w:val="32"/>
          <w:szCs w:val="32"/>
        </w:rPr>
        <w:t>5.1.2</w:t>
      </w:r>
      <w:r>
        <w:rPr>
          <w:rStyle w:val="27"/>
          <w:rFonts w:eastAsia="仿宋_GB2312"/>
          <w:sz w:val="32"/>
          <w:szCs w:val="32"/>
          <w:lang w:val="zh-CN"/>
        </w:rPr>
        <w:t>乳头或乳房感觉改变的发生率、发生时间和严重程度；</w:t>
      </w:r>
    </w:p>
    <w:p w14:paraId="6D59AB87">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rFonts w:eastAsia="仿宋_GB2312"/>
          <w:sz w:val="32"/>
          <w:szCs w:val="32"/>
        </w:rPr>
        <w:t>5.1.3</w:t>
      </w:r>
      <w:r>
        <w:rPr>
          <w:rStyle w:val="27"/>
          <w:rFonts w:eastAsia="仿宋_GB2312"/>
          <w:sz w:val="32"/>
          <w:szCs w:val="32"/>
          <w:lang w:val="zh-CN"/>
        </w:rPr>
        <w:t>对哺乳的干扰和/或哺乳困难的发生率、发生时间和严重性，以及尝试哺乳不成功的频率；</w:t>
      </w:r>
    </w:p>
    <w:p w14:paraId="0C2D0093">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rFonts w:eastAsia="仿宋_GB2312"/>
          <w:sz w:val="32"/>
          <w:szCs w:val="32"/>
        </w:rPr>
        <w:t>5.1.4</w:t>
      </w:r>
      <w:r>
        <w:rPr>
          <w:rStyle w:val="27"/>
          <w:rFonts w:eastAsia="仿宋_GB2312"/>
          <w:sz w:val="32"/>
          <w:szCs w:val="32"/>
          <w:lang w:val="zh-CN"/>
        </w:rPr>
        <w:t>怀孕困难的发生率、发生时间和性质；</w:t>
      </w:r>
    </w:p>
    <w:p w14:paraId="716A9AEC">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rFonts w:eastAsia="仿宋_GB2312"/>
          <w:sz w:val="32"/>
          <w:szCs w:val="32"/>
        </w:rPr>
        <w:t>5.1.5</w:t>
      </w:r>
      <w:r>
        <w:rPr>
          <w:rStyle w:val="27"/>
          <w:rFonts w:eastAsia="仿宋_GB2312"/>
          <w:sz w:val="32"/>
          <w:szCs w:val="32"/>
          <w:lang w:val="zh-CN"/>
        </w:rPr>
        <w:t>受试者死亡的发生率、发生时间和原因（死亡原因须从尸检中获得）；</w:t>
      </w:r>
    </w:p>
    <w:p w14:paraId="7EEA55E3">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rFonts w:eastAsia="仿宋_GB2312"/>
          <w:sz w:val="32"/>
          <w:szCs w:val="32"/>
        </w:rPr>
        <w:t>5.1.6</w:t>
      </w:r>
      <w:r>
        <w:rPr>
          <w:rStyle w:val="27"/>
          <w:rFonts w:eastAsia="仿宋_GB2312"/>
          <w:sz w:val="32"/>
          <w:szCs w:val="32"/>
          <w:lang w:val="zh-CN"/>
        </w:rPr>
        <w:t>植入后新诊断的乳腺癌的发生率、发生时间和类型，包括所有由于乳房植入导致的乳房成像困难/干扰；</w:t>
      </w:r>
    </w:p>
    <w:p w14:paraId="3E444271">
      <w:pPr>
        <w:pStyle w:val="28"/>
        <w:widowControl/>
        <w:kinsoku w:val="0"/>
        <w:wordWrap w:val="0"/>
        <w:overflowPunct w:val="0"/>
        <w:topLinePunct/>
        <w:spacing w:line="520" w:lineRule="exact"/>
        <w:ind w:firstLine="643" w:firstLineChars="201"/>
        <w:jc w:val="both"/>
        <w:rPr>
          <w:rStyle w:val="27"/>
          <w:rFonts w:eastAsia="仿宋_GB2312"/>
          <w:sz w:val="32"/>
          <w:szCs w:val="32"/>
          <w:lang w:val="zh-CN"/>
        </w:rPr>
      </w:pPr>
      <w:r>
        <w:rPr>
          <w:rStyle w:val="27"/>
          <w:sz w:val="32"/>
          <w:szCs w:val="32"/>
        </w:rPr>
        <w:t>5.1.7新</w:t>
      </w:r>
      <w:r>
        <w:rPr>
          <w:rFonts w:eastAsia="仿宋_GB2312"/>
          <w:sz w:val="32"/>
          <w:szCs w:val="32"/>
        </w:rPr>
        <w:t>结缔组织病（CTD）的发生率、发生时间和程度，详细描述体征和症状。</w:t>
      </w:r>
      <w:r>
        <w:rPr>
          <w:rStyle w:val="27"/>
          <w:rFonts w:eastAsia="仿宋_GB2312"/>
          <w:sz w:val="32"/>
          <w:szCs w:val="32"/>
          <w:lang w:val="zh-CN"/>
        </w:rPr>
        <w:t>需对所有受试者术前、术后第1、第3、第5年进行CTD评价。如发生CTD，需由风湿病医生对受试者进行随访评价，收集血清学信息（如抗核抗体（ANA）、类风湿因子（RF）、</w:t>
      </w:r>
      <w:r>
        <w:rPr>
          <w:rStyle w:val="27"/>
          <w:rFonts w:eastAsia="仿宋_GB2312"/>
          <w:sz w:val="32"/>
          <w:szCs w:val="32"/>
        </w:rPr>
        <w:t>红细胞沉降率</w:t>
      </w:r>
      <w:r>
        <w:rPr>
          <w:rStyle w:val="27"/>
          <w:rFonts w:eastAsia="仿宋_GB2312"/>
          <w:sz w:val="32"/>
          <w:szCs w:val="32"/>
          <w:lang w:val="zh-CN"/>
        </w:rPr>
        <w:t>（ESR）、免疫球蛋白浓度、C反应蛋白（CRP）、</w:t>
      </w:r>
      <w:r>
        <w:rPr>
          <w:rStyle w:val="27"/>
          <w:rFonts w:eastAsia="仿宋_GB2312"/>
          <w:sz w:val="32"/>
          <w:szCs w:val="32"/>
        </w:rPr>
        <w:t>抗心磷脂抗体（</w:t>
      </w:r>
      <w:r>
        <w:rPr>
          <w:rStyle w:val="27"/>
          <w:rFonts w:eastAsia="仿宋_GB2312"/>
          <w:sz w:val="32"/>
          <w:szCs w:val="32"/>
          <w:lang w:val="zh-CN"/>
        </w:rPr>
        <w:t>IgG和IgM）、单克隆蛋白的评价、补体浓度等）。</w:t>
      </w:r>
    </w:p>
    <w:p w14:paraId="00D9CEF5">
      <w:pPr>
        <w:pStyle w:val="32"/>
        <w:widowControl/>
        <w:kinsoku w:val="0"/>
        <w:wordWrap w:val="0"/>
        <w:overflowPunct w:val="0"/>
        <w:topLinePunct/>
        <w:spacing w:line="520" w:lineRule="exact"/>
        <w:ind w:firstLine="643" w:firstLineChars="201"/>
        <w:jc w:val="both"/>
        <w:rPr>
          <w:rFonts w:eastAsia="仿宋_GB2312"/>
          <w:sz w:val="32"/>
          <w:szCs w:val="32"/>
        </w:rPr>
      </w:pPr>
      <w:r>
        <w:rPr>
          <w:rFonts w:eastAsia="仿宋_GB2312"/>
          <w:sz w:val="32"/>
          <w:szCs w:val="32"/>
        </w:rPr>
        <w:t>对于CTD</w:t>
      </w:r>
      <w:r>
        <w:rPr>
          <w:rStyle w:val="27"/>
          <w:rFonts w:eastAsia="仿宋_GB2312"/>
          <w:sz w:val="32"/>
          <w:szCs w:val="32"/>
          <w:lang w:val="zh-CN"/>
        </w:rPr>
        <w:t>，</w:t>
      </w:r>
      <w:r>
        <w:rPr>
          <w:rFonts w:eastAsia="仿宋_GB2312"/>
          <w:sz w:val="32"/>
          <w:szCs w:val="32"/>
        </w:rPr>
        <w:t>需规定如下内容:</w:t>
      </w:r>
    </w:p>
    <w:p w14:paraId="70EA5167">
      <w:pPr>
        <w:pStyle w:val="32"/>
        <w:widowControl/>
        <w:kinsoku w:val="0"/>
        <w:wordWrap w:val="0"/>
        <w:overflowPunct w:val="0"/>
        <w:topLinePunct/>
        <w:spacing w:line="520" w:lineRule="exact"/>
        <w:ind w:firstLine="643" w:firstLineChars="201"/>
        <w:jc w:val="both"/>
        <w:rPr>
          <w:rStyle w:val="27"/>
          <w:rFonts w:eastAsia="仿宋_GB2312"/>
          <w:kern w:val="2"/>
          <w:sz w:val="32"/>
          <w:szCs w:val="32"/>
          <w:lang w:val="zh-CN"/>
        </w:rPr>
      </w:pPr>
      <w:r>
        <w:rPr>
          <w:rStyle w:val="27"/>
          <w:sz w:val="32"/>
          <w:szCs w:val="32"/>
        </w:rPr>
        <w:t>5.1.7.1</w:t>
      </w:r>
      <w:r>
        <w:rPr>
          <w:rStyle w:val="27"/>
          <w:rFonts w:eastAsia="仿宋_GB2312"/>
          <w:sz w:val="32"/>
          <w:szCs w:val="32"/>
          <w:lang w:val="zh-CN"/>
        </w:rPr>
        <w:t>CTD诊断：CTD诊断包括风湿病(如类风湿性关节炎、全身性红斑狼疮、盘状狼疮、硬皮病、血管炎、多发性肌炎和皮肤肌炎等）和风湿性综合征（如</w:t>
      </w:r>
      <w:r>
        <w:rPr>
          <w:rStyle w:val="27"/>
          <w:rFonts w:eastAsia="仿宋_GB2312"/>
          <w:sz w:val="32"/>
          <w:szCs w:val="32"/>
        </w:rPr>
        <w:t>雷诺(氏)现象、斯耶格伦(氏)综合征、CREST综合征、硬斑病、腕管综合征、类多发性硬化症、类多发性骨髓瘤综合征、慢性疲劳综合征和纤维肌痛等）。</w:t>
      </w:r>
      <w:r>
        <w:rPr>
          <w:rStyle w:val="27"/>
          <w:rFonts w:eastAsia="仿宋_GB2312"/>
          <w:sz w:val="32"/>
          <w:szCs w:val="32"/>
          <w:lang w:val="zh-CN"/>
        </w:rPr>
        <w:t>需收集每个组每个受试者的如下信息：每个CTD诊断单独的以及具有一个或更多CTD诊断的Kaplan-Meier分析（如1减去无全身性红斑狼疮的随时间变化的生存率）；对每个CTD诊断以及对具有一个或更多CTD诊断，在每个时间点上单独统计的累计CTD发生率。</w:t>
      </w:r>
    </w:p>
    <w:p w14:paraId="1FB48E2C">
      <w:pPr>
        <w:pStyle w:val="29"/>
        <w:widowControl/>
        <w:tabs>
          <w:tab w:val="left" w:pos="900"/>
        </w:tabs>
        <w:kinsoku w:val="0"/>
        <w:wordWrap w:val="0"/>
        <w:overflowPunct w:val="0"/>
        <w:topLinePunct/>
        <w:spacing w:line="520" w:lineRule="exact"/>
        <w:ind w:firstLine="640" w:firstLineChars="200"/>
        <w:jc w:val="both"/>
        <w:rPr>
          <w:rStyle w:val="27"/>
          <w:rFonts w:eastAsia="仿宋_GB2312"/>
          <w:kern w:val="2"/>
          <w:sz w:val="32"/>
          <w:szCs w:val="32"/>
          <w:lang w:val="zh-CN"/>
        </w:rPr>
      </w:pPr>
      <w:r>
        <w:rPr>
          <w:rStyle w:val="27"/>
          <w:rFonts w:eastAsia="仿宋_GB2312"/>
          <w:sz w:val="32"/>
          <w:szCs w:val="32"/>
        </w:rPr>
        <w:t>5.1.7.2</w:t>
      </w:r>
      <w:r>
        <w:rPr>
          <w:rStyle w:val="27"/>
          <w:rFonts w:eastAsia="仿宋_GB2312"/>
          <w:sz w:val="32"/>
          <w:szCs w:val="32"/>
          <w:lang w:val="zh-CN"/>
        </w:rPr>
        <w:t>CTD体征/症状：体征/症状根据解剖或身体功能区域（如皮肤、肌肉、关节、消化道、呼吸系统、神经系统、全身）进行分类。例如：皮肤包括脱发、面部皮疹、瘙痒和瘀斑；肌肉包括肌痛、肌无力和CRP升高；关节包括关节痛、关节炎和晨僵；神经系统包括认知机能障碍、记忆问题、</w:t>
      </w:r>
      <w:r>
        <w:rPr>
          <w:rStyle w:val="27"/>
          <w:rFonts w:eastAsia="仿宋_GB2312"/>
          <w:sz w:val="32"/>
          <w:szCs w:val="32"/>
        </w:rPr>
        <w:t>周围神经病和类似多发性硬化的症状；</w:t>
      </w:r>
      <w:r>
        <w:rPr>
          <w:rStyle w:val="27"/>
          <w:rFonts w:eastAsia="仿宋_GB2312"/>
          <w:sz w:val="32"/>
          <w:szCs w:val="32"/>
          <w:lang w:val="zh-CN"/>
        </w:rPr>
        <w:t>全身包括疲劳、全身痛、发热和抑郁。需收集每个受试者的如下数据：</w:t>
      </w:r>
      <w:r>
        <w:rPr>
          <w:rStyle w:val="27"/>
          <w:rFonts w:eastAsia="仿宋_GB2312"/>
          <w:sz w:val="32"/>
          <w:szCs w:val="32"/>
        </w:rPr>
        <w:t>每个症状类别的Kaplan-Meier分析描述一种或多种阳性症状的受试者的Kaplan-Meier分析；每个时间点上至少一个CTD体征/症状类别的累计发生率。</w:t>
      </w:r>
    </w:p>
    <w:p w14:paraId="49163CAA">
      <w:pPr>
        <w:pStyle w:val="32"/>
        <w:widowControl/>
        <w:kinsoku w:val="0"/>
        <w:wordWrap w:val="0"/>
        <w:overflowPunct w:val="0"/>
        <w:topLinePunct/>
        <w:spacing w:line="520" w:lineRule="exact"/>
        <w:ind w:firstLine="640" w:firstLineChars="200"/>
        <w:jc w:val="both"/>
        <w:rPr>
          <w:rStyle w:val="27"/>
          <w:rFonts w:eastAsia="仿宋_GB2312"/>
          <w:kern w:val="2"/>
          <w:sz w:val="32"/>
          <w:szCs w:val="32"/>
          <w:lang w:val="zh-CN"/>
        </w:rPr>
      </w:pPr>
      <w:r>
        <w:rPr>
          <w:rStyle w:val="27"/>
          <w:rFonts w:eastAsia="仿宋_GB2312"/>
          <w:sz w:val="32"/>
          <w:szCs w:val="32"/>
        </w:rPr>
        <w:t>5.1.7.3</w:t>
      </w:r>
      <w:r>
        <w:rPr>
          <w:rStyle w:val="27"/>
          <w:rFonts w:eastAsia="仿宋_GB2312"/>
          <w:sz w:val="32"/>
          <w:szCs w:val="32"/>
          <w:lang w:val="zh-CN"/>
        </w:rPr>
        <w:t>单个的CTD体征和症状：单个的CTD体征和症状包括脱发、面部皮疹、光过敏、干眼、口干燥、关节痛、肌痛、神经痛、吞咽困难、超过30分钟的晨僵、眼睛发炎/视网膜炎视神经炎、肌无力、超过六星期的关节肿胀、胸膜炎、呼吸困难、皮疹、淋巴结病、认知机能障碍、疲劳、感觉异常、头晕、异常挫伤或出血、紫癜、不明原因的发热、荨麻疹、毛细管扩张和瘀点。需收集每个受试者的如下数据:</w:t>
      </w:r>
      <w:r>
        <w:rPr>
          <w:rStyle w:val="27"/>
          <w:rFonts w:eastAsia="仿宋_GB2312"/>
          <w:sz w:val="32"/>
          <w:szCs w:val="32"/>
        </w:rPr>
        <w:t>每个时间点每单个CTD体征和症状的累计发生率;乳房植入体破裂的情况、报告的并发症以及报告在乳房植入体植入前无CTD体征和症状的受试者的满意度;报告的新CTD体征、症状类、发生率与发表文献或其他可比来源（如其他类型乳房植入体的受试者的数据、寻求其他类型整形手术的受试者数据）信息的比较。</w:t>
      </w:r>
    </w:p>
    <w:p w14:paraId="04761264">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对于以上提及的所有并发症，均需计算并发症累计发生率，并阐述每种并发症在每个时间点的累计发生率，需对每组的逐个受试者和逐个乳房植入体进行统计。数据集需包括有或无更换的再次手术和摘除。发生率应基于该时间点的受试者数或乳房植入体数进行计算。</w:t>
      </w:r>
    </w:p>
    <w:p w14:paraId="58BDA9BA">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如在同一受试者或乳房中相同的并发症报告了超过一次，且该并发症伴随在整个随访期间，应计为一次。如一个受试者或乳房出现了一个并发症，该并发症解决后又在后续的一个时间点在同一受试者或乳房中再次发生，则应计为两次。</w:t>
      </w:r>
    </w:p>
    <w:p w14:paraId="4C1586C8">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如在同一受试者或乳房有超过一个不同的并发症，则每个并发症都应计入，计算各并发症的发生率（每个受试者和每个乳房植入体各计一次）。每个包膜挛缩级别都应考虑为一种新的或不同的并发症，植入后新诊断的乳腺癌也应算作一种新的并发症。</w:t>
      </w:r>
    </w:p>
    <w:p w14:paraId="53B81D7A">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此外，当患者出现与基线不同的体征和症状时，受试者需接受相关专家的诊断和治疗，并规定需转诊的标准（如出现的数量和类型），并记录根据该标准接受专家治疗的受试者比例。</w:t>
      </w:r>
    </w:p>
    <w:p w14:paraId="5257D09C">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Style w:val="27"/>
          <w:kern w:val="0"/>
          <w:sz w:val="32"/>
          <w:szCs w:val="32"/>
        </w:rPr>
        <w:t>5.2</w:t>
      </w:r>
      <w:r>
        <w:rPr>
          <w:rFonts w:ascii="Times New Roman" w:hAnsi="Times New Roman" w:eastAsia="仿宋_GB2312"/>
          <w:sz w:val="32"/>
          <w:szCs w:val="32"/>
        </w:rPr>
        <w:t>再手术、附加手术操作</w:t>
      </w:r>
    </w:p>
    <w:p w14:paraId="16806E28">
      <w:pPr>
        <w:pStyle w:val="28"/>
        <w:widowControl/>
        <w:kinsoku w:val="0"/>
        <w:wordWrap w:val="0"/>
        <w:overflowPunct w:val="0"/>
        <w:topLinePunct/>
        <w:spacing w:line="520" w:lineRule="exact"/>
        <w:ind w:firstLine="640" w:firstLineChars="200"/>
        <w:jc w:val="both"/>
        <w:rPr>
          <w:rStyle w:val="27"/>
          <w:rFonts w:eastAsia="仿宋_GB2312"/>
          <w:kern w:val="2"/>
          <w:sz w:val="32"/>
          <w:szCs w:val="32"/>
          <w:lang w:val="zh-CN"/>
        </w:rPr>
      </w:pPr>
      <w:r>
        <w:rPr>
          <w:rStyle w:val="27"/>
          <w:rFonts w:eastAsia="仿宋_GB2312"/>
          <w:sz w:val="32"/>
          <w:szCs w:val="32"/>
        </w:rPr>
        <w:t>5.2.1</w:t>
      </w:r>
      <w:r>
        <w:rPr>
          <w:rStyle w:val="27"/>
          <w:rFonts w:eastAsia="仿宋_GB2312"/>
          <w:sz w:val="32"/>
          <w:szCs w:val="32"/>
          <w:lang w:val="zh-CN"/>
        </w:rPr>
        <w:t>再手术的主要原因</w:t>
      </w:r>
    </w:p>
    <w:p w14:paraId="44E7797A">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再手术是指在一个给定时间点上对受试者进行的单次手术，包括一个或两个植入物。如果受试者在更晚的时间点做了另一个手术，应计为不同的再手术。医生需报告单次再手术的一个或多个原因。</w:t>
      </w:r>
    </w:p>
    <w:p w14:paraId="77B6FB1E">
      <w:pPr>
        <w:pStyle w:val="28"/>
        <w:widowControl/>
        <w:kinsoku w:val="0"/>
        <w:wordWrap w:val="0"/>
        <w:overflowPunct w:val="0"/>
        <w:topLinePunct/>
        <w:snapToGrid w:val="0"/>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若发生再手术原因为多个，需确定其主要原因，建议考虑如下情况：破裂/缩小；感染；包膜挛缩；坏死/挤出；血肿/血清肿；伤口延迟愈合；乳房疼痛；植入物错位；波纹；可触摸到/可见；不对称；下垂；瘢痕增生；乳头并发症；乳房植入体损伤/医源性；乳腺癌；活检；受试者请求改变样式/尺寸。</w:t>
      </w:r>
    </w:p>
    <w:p w14:paraId="5082464F">
      <w:pPr>
        <w:pStyle w:val="28"/>
        <w:widowControl/>
        <w:kinsoku w:val="0"/>
        <w:wordWrap w:val="0"/>
        <w:overflowPunct w:val="0"/>
        <w:topLinePunct/>
        <w:spacing w:line="520" w:lineRule="exact"/>
        <w:ind w:firstLine="640" w:firstLineChars="200"/>
        <w:jc w:val="both"/>
        <w:rPr>
          <w:rFonts w:eastAsia="仿宋_GB2312"/>
          <w:sz w:val="32"/>
          <w:szCs w:val="32"/>
        </w:rPr>
      </w:pPr>
      <w:r>
        <w:rPr>
          <w:rStyle w:val="27"/>
          <w:rFonts w:eastAsia="仿宋_GB2312"/>
          <w:sz w:val="32"/>
          <w:szCs w:val="32"/>
          <w:lang w:val="zh-CN"/>
        </w:rPr>
        <w:t>需记录每个时间点每组的再手术的累积主要原因，以及从初次植入到该时间点的再手术总数，并计算各主要原因的发生率。</w:t>
      </w:r>
    </w:p>
    <w:p w14:paraId="7C0412E4">
      <w:pPr>
        <w:pStyle w:val="32"/>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rPr>
        <w:t>5.2.2附</w:t>
      </w:r>
      <w:r>
        <w:rPr>
          <w:rStyle w:val="27"/>
          <w:rFonts w:eastAsia="仿宋_GB2312"/>
          <w:sz w:val="32"/>
          <w:szCs w:val="32"/>
          <w:lang w:val="zh-CN"/>
        </w:rPr>
        <w:t>加外科操作的类型</w:t>
      </w:r>
    </w:p>
    <w:p w14:paraId="4B97BDF0">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在一次再手术中可进行多个外科操作，如：囊切开术、囊切除术、更换乳房植入体的摘除、不做更换的乳房植入体摘除、盐水容积调节、乳房植入体的再定位、脓肿/血肿/血清肿的排出、植入乳房同侧腋区或手臂团块/淋巴结的切除、以及活检/囊肿的摘除等。</w:t>
      </w:r>
    </w:p>
    <w:p w14:paraId="35AFBD27">
      <w:pPr>
        <w:pStyle w:val="28"/>
        <w:widowControl/>
        <w:kinsoku w:val="0"/>
        <w:wordWrap w:val="0"/>
        <w:overflowPunct w:val="0"/>
        <w:topLinePunct/>
        <w:spacing w:line="520" w:lineRule="exact"/>
        <w:ind w:firstLine="640" w:firstLineChars="200"/>
        <w:jc w:val="both"/>
        <w:rPr>
          <w:rStyle w:val="27"/>
          <w:rFonts w:eastAsia="仿宋_GB2312"/>
          <w:sz w:val="32"/>
          <w:szCs w:val="32"/>
          <w:lang w:val="zh-CN"/>
        </w:rPr>
      </w:pPr>
      <w:r>
        <w:rPr>
          <w:rStyle w:val="27"/>
          <w:rFonts w:eastAsia="仿宋_GB2312"/>
          <w:sz w:val="32"/>
          <w:szCs w:val="32"/>
          <w:lang w:val="zh-CN"/>
        </w:rPr>
        <w:t>需记录每个时间点每组的附加外科操作的累积类型以及初次植入到该时间点的附加外科操作总数，并计算每组附加外科操作的发生率。如果一个再手术报告的操作类型超过一种，应报告所有执行的操作。</w:t>
      </w:r>
    </w:p>
    <w:p w14:paraId="0466C59F">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Style w:val="27"/>
          <w:kern w:val="0"/>
          <w:sz w:val="32"/>
          <w:szCs w:val="32"/>
        </w:rPr>
        <w:t>5.3</w:t>
      </w:r>
      <w:r>
        <w:rPr>
          <w:rFonts w:ascii="Times New Roman" w:hAnsi="Times New Roman" w:eastAsia="仿宋_GB2312"/>
          <w:sz w:val="32"/>
          <w:szCs w:val="32"/>
        </w:rPr>
        <w:t>乳房影像数据</w:t>
      </w:r>
    </w:p>
    <w:p w14:paraId="22A2DC5A">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需对所有接受乳房影像筛查后乳房影像疑似肿瘤受试者单独分析：</w:t>
      </w:r>
    </w:p>
    <w:p w14:paraId="5FAAE71E">
      <w:pPr>
        <w:pStyle w:val="29"/>
        <w:widowControl/>
        <w:tabs>
          <w:tab w:val="left" w:pos="1080"/>
        </w:tabs>
        <w:kinsoku w:val="0"/>
        <w:wordWrap w:val="0"/>
        <w:overflowPunct w:val="0"/>
        <w:topLinePunct/>
        <w:spacing w:line="520" w:lineRule="exact"/>
        <w:ind w:firstLine="640" w:firstLineChars="200"/>
        <w:jc w:val="both"/>
        <w:rPr>
          <w:rStyle w:val="27"/>
          <w:rFonts w:eastAsia="仿宋_GB2312"/>
          <w:kern w:val="2"/>
          <w:sz w:val="32"/>
          <w:szCs w:val="32"/>
        </w:rPr>
      </w:pPr>
      <w:r>
        <w:rPr>
          <w:rFonts w:eastAsia="仿宋_GB2312"/>
          <w:sz w:val="32"/>
          <w:szCs w:val="32"/>
        </w:rPr>
        <w:t>a.</w:t>
      </w:r>
      <w:r>
        <w:rPr>
          <w:rStyle w:val="27"/>
          <w:rFonts w:eastAsia="仿宋_GB2312"/>
          <w:sz w:val="32"/>
          <w:szCs w:val="32"/>
        </w:rPr>
        <w:t>不管活检结果如何；</w:t>
      </w:r>
    </w:p>
    <w:p w14:paraId="03A741E2">
      <w:pPr>
        <w:pStyle w:val="29"/>
        <w:widowControl/>
        <w:tabs>
          <w:tab w:val="left" w:pos="1080"/>
        </w:tabs>
        <w:kinsoku w:val="0"/>
        <w:wordWrap w:val="0"/>
        <w:overflowPunct w:val="0"/>
        <w:topLinePunct/>
        <w:spacing w:line="520" w:lineRule="exact"/>
        <w:ind w:firstLine="640" w:firstLineChars="200"/>
        <w:jc w:val="both"/>
        <w:rPr>
          <w:rStyle w:val="27"/>
          <w:rFonts w:eastAsia="仿宋_GB2312"/>
          <w:sz w:val="32"/>
          <w:szCs w:val="32"/>
        </w:rPr>
      </w:pPr>
      <w:r>
        <w:rPr>
          <w:rFonts w:eastAsia="仿宋_GB2312"/>
          <w:sz w:val="32"/>
          <w:szCs w:val="32"/>
        </w:rPr>
        <w:t>b.</w:t>
      </w:r>
      <w:r>
        <w:rPr>
          <w:rStyle w:val="27"/>
          <w:rFonts w:eastAsia="仿宋_GB2312"/>
          <w:sz w:val="32"/>
          <w:szCs w:val="32"/>
        </w:rPr>
        <w:t>恶性肿瘤活检阳性；</w:t>
      </w:r>
    </w:p>
    <w:p w14:paraId="05154676">
      <w:pPr>
        <w:pStyle w:val="29"/>
        <w:widowControl/>
        <w:tabs>
          <w:tab w:val="left" w:pos="1080"/>
        </w:tabs>
        <w:kinsoku w:val="0"/>
        <w:wordWrap w:val="0"/>
        <w:overflowPunct w:val="0"/>
        <w:topLinePunct/>
        <w:spacing w:line="520" w:lineRule="exact"/>
        <w:ind w:firstLine="640" w:firstLineChars="200"/>
        <w:jc w:val="both"/>
        <w:rPr>
          <w:rStyle w:val="27"/>
          <w:rFonts w:eastAsia="仿宋_GB2312"/>
          <w:sz w:val="32"/>
          <w:szCs w:val="32"/>
        </w:rPr>
      </w:pPr>
      <w:r>
        <w:rPr>
          <w:rFonts w:eastAsia="仿宋_GB2312"/>
          <w:sz w:val="32"/>
          <w:szCs w:val="32"/>
        </w:rPr>
        <w:t>c.</w:t>
      </w:r>
      <w:r>
        <w:rPr>
          <w:rStyle w:val="27"/>
          <w:rFonts w:eastAsia="仿宋_GB2312"/>
          <w:sz w:val="32"/>
          <w:szCs w:val="32"/>
        </w:rPr>
        <w:t>恶性肿瘤活检阴性。</w:t>
      </w:r>
    </w:p>
    <w:p w14:paraId="23C338BE">
      <w:pPr>
        <w:pStyle w:val="29"/>
        <w:widowControl/>
        <w:tabs>
          <w:tab w:val="left" w:pos="1080"/>
        </w:tabs>
        <w:kinsoku w:val="0"/>
        <w:wordWrap w:val="0"/>
        <w:overflowPunct w:val="0"/>
        <w:topLinePunct/>
        <w:spacing w:line="520" w:lineRule="exact"/>
        <w:ind w:firstLine="640" w:firstLineChars="200"/>
        <w:jc w:val="both"/>
        <w:rPr>
          <w:rFonts w:eastAsia="仿宋_GB2312"/>
          <w:sz w:val="32"/>
          <w:szCs w:val="32"/>
        </w:rPr>
      </w:pPr>
      <w:r>
        <w:rPr>
          <w:rStyle w:val="27"/>
          <w:rFonts w:eastAsia="仿宋_GB2312"/>
          <w:sz w:val="32"/>
          <w:szCs w:val="32"/>
        </w:rPr>
        <w:t>每种事件的分析应包含：</w:t>
      </w:r>
      <w:r>
        <w:rPr>
          <w:rFonts w:eastAsia="仿宋_GB2312"/>
          <w:sz w:val="32"/>
          <w:szCs w:val="32"/>
        </w:rPr>
        <w:t>每组在每个时间点的各个受试者和各种乳房植入体的非累计性时间点的患病率。每组在每个时间点的各个受试者和各种乳房植入体的累计发生率。以上发生率均应基于该时间点的受试者数或乳房植入体数，并将以上数据与文献中报道的年龄匹配组的数据进行比较。</w:t>
      </w:r>
    </w:p>
    <w:p w14:paraId="092AB4F0">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Style w:val="27"/>
          <w:kern w:val="0"/>
          <w:sz w:val="32"/>
          <w:szCs w:val="32"/>
        </w:rPr>
        <w:t>6.</w:t>
      </w:r>
      <w:r>
        <w:rPr>
          <w:rFonts w:ascii="Times New Roman" w:hAnsi="Times New Roman" w:eastAsia="仿宋_GB2312"/>
          <w:sz w:val="32"/>
          <w:szCs w:val="32"/>
        </w:rPr>
        <w:t>临床试验样本量</w:t>
      </w:r>
    </w:p>
    <w:p w14:paraId="638CD242">
      <w:pPr>
        <w:pStyle w:val="28"/>
        <w:widowControl/>
        <w:kinsoku w:val="0"/>
        <w:wordWrap w:val="0"/>
        <w:overflowPunct w:val="0"/>
        <w:topLinePunct/>
        <w:spacing w:line="520" w:lineRule="exact"/>
        <w:ind w:firstLine="640" w:firstLineChars="200"/>
        <w:jc w:val="both"/>
        <w:rPr>
          <w:rStyle w:val="27"/>
          <w:rFonts w:eastAsia="仿宋_GB2312"/>
          <w:kern w:val="2"/>
          <w:sz w:val="32"/>
          <w:szCs w:val="32"/>
        </w:rPr>
      </w:pPr>
      <w:r>
        <w:rPr>
          <w:rStyle w:val="27"/>
          <w:rFonts w:eastAsia="仿宋_GB2312"/>
          <w:sz w:val="32"/>
          <w:szCs w:val="32"/>
        </w:rPr>
        <w:t>注册申请人需使受试者数量足够满足统计学要求，以支持试验组在临床主要评价指标上与合适对照组（包括大量文献报道的公认的安全性和有效性数据）的对比结果（等效、非劣效或优效）具有统计学意义。样本量的计算可以基于试验组与对照组的具有临床意义的显著性差异来确定，也可基于达到目标值的精度来确定，同时需考虑整个随访时间的失访率。</w:t>
      </w:r>
    </w:p>
    <w:p w14:paraId="14F4A1C2">
      <w:pPr>
        <w:pStyle w:val="28"/>
        <w:widowControl/>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注册申请人需提供样本量足以评价乳房植入体安全性和有效性的统计论证，包括以下内容：</w:t>
      </w:r>
    </w:p>
    <w:p w14:paraId="4A55D46A">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6.1临床效果的界值（即要评价的反应变量的临床显著性差异）；</w:t>
      </w:r>
    </w:p>
    <w:p w14:paraId="760579AC">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 I类错误水平α和II类错误水平β值（如适用）；</w:t>
      </w:r>
    </w:p>
    <w:p w14:paraId="27B6079E">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6.3对率进行估计的所需精度（如：定义为可信区间的一半）；</w:t>
      </w:r>
    </w:p>
    <w:p w14:paraId="0F73B39A">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6.4反应变量的预期方差（如果已知）；</w:t>
      </w:r>
    </w:p>
    <w:p w14:paraId="62A17E95">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6.5所用到的假设或统计公式，列出所用的参考文献；</w:t>
      </w:r>
    </w:p>
    <w:p w14:paraId="0FEC4BFE">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6.6失访率的合理估计；</w:t>
      </w:r>
    </w:p>
    <w:p w14:paraId="2D18D8B5">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6.7所有用到的计算过程或统计软件（应采用公认的统计软件如：SAS、SPSS、SYSTAT）。</w:t>
      </w:r>
    </w:p>
    <w:p w14:paraId="40870636">
      <w:pPr>
        <w:pStyle w:val="28"/>
        <w:widowControl/>
        <w:kinsoku w:val="0"/>
        <w:wordWrap w:val="0"/>
        <w:overflowPunct w:val="0"/>
        <w:topLinePunct/>
        <w:spacing w:line="520" w:lineRule="exact"/>
        <w:ind w:firstLine="640" w:firstLineChars="200"/>
        <w:jc w:val="both"/>
        <w:rPr>
          <w:rFonts w:eastAsia="仿宋_GB2312"/>
          <w:sz w:val="32"/>
          <w:szCs w:val="32"/>
        </w:rPr>
      </w:pPr>
      <w:r>
        <w:rPr>
          <w:rStyle w:val="27"/>
          <w:rFonts w:eastAsia="仿宋_GB2312"/>
          <w:sz w:val="32"/>
          <w:szCs w:val="32"/>
        </w:rPr>
        <w:t>对于采用目标值法进行设计的用于隆乳的临床试验，鉴于乳房植入体临床主要评价指标为破裂率和包膜挛缩率（Baker分级</w:t>
      </w:r>
      <w:r>
        <w:rPr>
          <w:rStyle w:val="27"/>
          <w:sz w:val="32"/>
          <w:szCs w:val="32"/>
        </w:rPr>
        <w:t>Ⅲ</w:t>
      </w:r>
      <w:r>
        <w:rPr>
          <w:rStyle w:val="27"/>
          <w:rFonts w:eastAsia="仿宋_GB2312"/>
          <w:sz w:val="32"/>
          <w:szCs w:val="32"/>
        </w:rPr>
        <w:t>、</w:t>
      </w:r>
      <w:r>
        <w:rPr>
          <w:rStyle w:val="27"/>
          <w:sz w:val="32"/>
          <w:szCs w:val="32"/>
        </w:rPr>
        <w:t>Ⅳ</w:t>
      </w:r>
      <w:r>
        <w:rPr>
          <w:rStyle w:val="27"/>
          <w:rFonts w:eastAsia="仿宋_GB2312"/>
          <w:sz w:val="32"/>
          <w:szCs w:val="32"/>
        </w:rPr>
        <w:t>级），而隆乳手术植入5年的平均破裂率为2%，其95%单侧可信区间界限值（目标值）为10%，植入5年的平均包膜挛缩率（Baker分级</w:t>
      </w:r>
      <w:r>
        <w:rPr>
          <w:rStyle w:val="27"/>
          <w:sz w:val="32"/>
          <w:szCs w:val="32"/>
        </w:rPr>
        <w:t>Ⅲ</w:t>
      </w:r>
      <w:r>
        <w:rPr>
          <w:rStyle w:val="27"/>
          <w:rFonts w:eastAsia="仿宋_GB2312"/>
          <w:sz w:val="32"/>
          <w:szCs w:val="32"/>
        </w:rPr>
        <w:t>、</w:t>
      </w:r>
      <w:r>
        <w:rPr>
          <w:rStyle w:val="27"/>
          <w:sz w:val="32"/>
          <w:szCs w:val="32"/>
        </w:rPr>
        <w:t>Ⅳ</w:t>
      </w:r>
      <w:r>
        <w:rPr>
          <w:rStyle w:val="27"/>
          <w:rFonts w:eastAsia="仿宋_GB2312"/>
          <w:sz w:val="32"/>
          <w:szCs w:val="32"/>
        </w:rPr>
        <w:t>级）为14%（鉴于15年和5年的包膜挛缩率相近，借鉴15年包膜挛缩率数据），其95%单侧可信区间界限值（目标值）为24%，因此临床试验需要的最低样本量应为188名受试者。该样本量是最终完成5年随访的受试者例数。假设从术后1年到术后5年之间的失访率是20%，则注册申请人应保证在术后1年的随访受试者数至少为235名。鉴于从术后1年到术后5年之间保持随访率高于80%非常困难，因此注册申请人</w:t>
      </w:r>
      <w:r>
        <w:rPr>
          <w:rFonts w:eastAsia="仿宋_GB2312"/>
          <w:sz w:val="32"/>
          <w:szCs w:val="32"/>
        </w:rPr>
        <w:t>在首次注册申报时提交的临床试验资料中，术后1年随访的</w:t>
      </w:r>
      <w:r>
        <w:rPr>
          <w:rStyle w:val="27"/>
          <w:rFonts w:eastAsia="仿宋_GB2312"/>
          <w:sz w:val="32"/>
          <w:szCs w:val="32"/>
        </w:rPr>
        <w:t>样本量</w:t>
      </w:r>
      <w:r>
        <w:rPr>
          <w:rFonts w:eastAsia="仿宋_GB2312"/>
          <w:sz w:val="32"/>
          <w:szCs w:val="32"/>
        </w:rPr>
        <w:t>应不低于235名随访的受试者。为保证该随访数据的获得，建议</w:t>
      </w:r>
      <w:r>
        <w:rPr>
          <w:rStyle w:val="27"/>
          <w:rFonts w:eastAsia="仿宋_GB2312"/>
          <w:sz w:val="32"/>
          <w:szCs w:val="32"/>
        </w:rPr>
        <w:t>在受试者入组时适当增加初始样本量。</w:t>
      </w:r>
      <w:r>
        <w:rPr>
          <w:rFonts w:eastAsia="仿宋_GB2312"/>
          <w:sz w:val="32"/>
          <w:szCs w:val="32"/>
        </w:rPr>
        <w:t>上述样本量是基于隆乳手术的文献数据计算得出，故入选的适用范围应仅限于隆乳，且所得数据进行统计得出的临床结论也仅支持隆乳的适用范围。</w:t>
      </w:r>
    </w:p>
    <w:p w14:paraId="12FA9B61">
      <w:pPr>
        <w:pStyle w:val="28"/>
        <w:widowControl/>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对于采用随机平行对照设计的临床试验，四种适用范围 （</w:t>
      </w:r>
      <w:r>
        <w:rPr>
          <w:rFonts w:eastAsia="仿宋_GB2312"/>
          <w:sz w:val="32"/>
          <w:szCs w:val="32"/>
        </w:rPr>
        <w:t>隆乳、乳房再造、隆乳后植入物更换、再造后植入物更换）</w:t>
      </w:r>
      <w:r>
        <w:rPr>
          <w:rStyle w:val="27"/>
          <w:rFonts w:eastAsia="仿宋_GB2312"/>
          <w:sz w:val="32"/>
          <w:szCs w:val="32"/>
        </w:rPr>
        <w:t>可合并进行统计，统计的结果可支持四种预期用途。</w:t>
      </w:r>
    </w:p>
    <w:p w14:paraId="05B4FA0C">
      <w:pPr>
        <w:pStyle w:val="28"/>
        <w:widowControl/>
        <w:kinsoku w:val="0"/>
        <w:wordWrap w:val="0"/>
        <w:overflowPunct w:val="0"/>
        <w:topLinePunct/>
        <w:spacing w:line="520" w:lineRule="exact"/>
        <w:ind w:firstLine="640" w:firstLineChars="200"/>
        <w:jc w:val="both"/>
        <w:rPr>
          <w:rFonts w:eastAsia="仿宋_GB2312"/>
          <w:kern w:val="2"/>
          <w:sz w:val="32"/>
          <w:szCs w:val="32"/>
        </w:rPr>
      </w:pPr>
      <w:r>
        <w:rPr>
          <w:rStyle w:val="27"/>
          <w:rFonts w:eastAsia="仿宋_GB2312"/>
          <w:sz w:val="32"/>
          <w:szCs w:val="32"/>
        </w:rPr>
        <w:t>为了对乳房植入体的安全性和有效性评价提供有意义的数据，无论是采用随机平行对照设计还是单组目标值法设计，均需保证每个时间点的受试者人群相对于初始受试人群的随访率不低于80%。</w:t>
      </w:r>
    </w:p>
    <w:p w14:paraId="2BF73582">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Style w:val="27"/>
          <w:kern w:val="0"/>
          <w:sz w:val="32"/>
          <w:szCs w:val="32"/>
        </w:rPr>
        <w:t>7.</w:t>
      </w:r>
      <w:r>
        <w:rPr>
          <w:rFonts w:ascii="Times New Roman" w:hAnsi="Times New Roman" w:eastAsia="仿宋_GB2312"/>
          <w:sz w:val="32"/>
          <w:szCs w:val="32"/>
        </w:rPr>
        <w:t>临床试验随访时间</w:t>
      </w:r>
    </w:p>
    <w:p w14:paraId="07908B3B">
      <w:pPr>
        <w:kinsoku w:val="0"/>
        <w:wordWrap w:val="0"/>
        <w:overflowPunct w:val="0"/>
        <w:topLinePunct/>
        <w:autoSpaceDE w:val="0"/>
        <w:autoSpaceDN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乳房植入体产品的临床试验随访时间一般在10年或以上。对于</w:t>
      </w:r>
      <w:r>
        <w:rPr>
          <w:rFonts w:ascii="Times New Roman" w:hAnsi="Times New Roman" w:eastAsia="仿宋_GB2312"/>
          <w:bCs/>
          <w:sz w:val="32"/>
          <w:szCs w:val="32"/>
        </w:rPr>
        <w:t>硅凝胶填充乳房植入体,注册申请人需提交至少3年的上市前临床试验数据，</w:t>
      </w:r>
      <w:r>
        <w:rPr>
          <w:rFonts w:ascii="Times New Roman" w:hAnsi="Times New Roman" w:eastAsia="仿宋_GB2312"/>
          <w:sz w:val="32"/>
          <w:szCs w:val="32"/>
        </w:rPr>
        <w:t>以支持其注册批准；对于</w:t>
      </w:r>
      <w:r>
        <w:rPr>
          <w:rFonts w:ascii="Times New Roman" w:hAnsi="Times New Roman" w:eastAsia="仿宋_GB2312"/>
          <w:bCs/>
          <w:sz w:val="32"/>
          <w:szCs w:val="32"/>
        </w:rPr>
        <w:t>生理盐水填充乳房植入体，注册申请人需提交至少2年的上市前临床试验数据，</w:t>
      </w:r>
      <w:r>
        <w:rPr>
          <w:rFonts w:ascii="Times New Roman" w:hAnsi="Times New Roman" w:eastAsia="仿宋_GB2312"/>
          <w:sz w:val="32"/>
          <w:szCs w:val="32"/>
        </w:rPr>
        <w:t>以支持其首次注册批准。</w:t>
      </w:r>
      <w:r>
        <w:rPr>
          <w:rStyle w:val="27"/>
          <w:rFonts w:eastAsia="仿宋_GB2312"/>
          <w:kern w:val="0"/>
          <w:sz w:val="32"/>
          <w:szCs w:val="32"/>
        </w:rPr>
        <w:t>注册申请人可在申报过程中更新所提交的产品临床随访数据资料，同时继续按照临床试验方案完成临床试验，在产品延续注册时提交临床试验资料。对于其他填充物或特殊设计的乳房植入体产品，则需根据风险评估确定上市前临床试验的时间。</w:t>
      </w:r>
    </w:p>
    <w:p w14:paraId="120DB7A6">
      <w:pPr>
        <w:pStyle w:val="28"/>
        <w:widowControl/>
        <w:kinsoku w:val="0"/>
        <w:wordWrap w:val="0"/>
        <w:overflowPunct w:val="0"/>
        <w:topLinePunct/>
        <w:spacing w:line="520" w:lineRule="exact"/>
        <w:ind w:firstLine="640" w:firstLineChars="200"/>
        <w:jc w:val="both"/>
        <w:rPr>
          <w:rFonts w:eastAsia="仿宋_GB2312"/>
          <w:kern w:val="2"/>
          <w:sz w:val="32"/>
          <w:szCs w:val="32"/>
        </w:rPr>
      </w:pPr>
      <w:r>
        <w:rPr>
          <w:rFonts w:eastAsia="仿宋_GB2312"/>
          <w:kern w:val="2"/>
          <w:sz w:val="32"/>
          <w:szCs w:val="32"/>
        </w:rPr>
        <w:t>定期对并发症进行评价，随访时间为6-10周、1年及每年随访。每年均需对受试者进行评价，以减少在随访过程中丢失的受试者数量。</w:t>
      </w:r>
    </w:p>
    <w:p w14:paraId="6686A70D">
      <w:pPr>
        <w:pStyle w:val="28"/>
        <w:widowControl/>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对于磁共振筛查无症状的破裂、结缔组织疾病评价和受试者报告的结果评价（PRO），应进行两年一次的随访评价。</w:t>
      </w:r>
    </w:p>
    <w:p w14:paraId="0E2DE949">
      <w:pPr>
        <w:pStyle w:val="28"/>
        <w:widowControl/>
        <w:kinsoku w:val="0"/>
        <w:wordWrap w:val="0"/>
        <w:overflowPunct w:val="0"/>
        <w:topLinePunct/>
        <w:spacing w:line="520" w:lineRule="exact"/>
        <w:ind w:firstLine="640" w:firstLineChars="200"/>
        <w:jc w:val="both"/>
        <w:rPr>
          <w:rFonts w:eastAsia="仿宋_GB2312"/>
          <w:kern w:val="2"/>
          <w:sz w:val="32"/>
          <w:szCs w:val="32"/>
        </w:rPr>
      </w:pPr>
      <w:r>
        <w:rPr>
          <w:rFonts w:eastAsia="仿宋_GB2312"/>
          <w:kern w:val="2"/>
          <w:sz w:val="32"/>
          <w:szCs w:val="32"/>
        </w:rPr>
        <w:t>对于做过乳房植入体摘除并换用受试的乳房植入体，或摘除后不更换的受试者，应按照临床方案的规定继续采集这些受试者的安全性数据。</w:t>
      </w:r>
    </w:p>
    <w:p w14:paraId="2657F4AA">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Style w:val="27"/>
          <w:kern w:val="0"/>
          <w:sz w:val="32"/>
          <w:szCs w:val="32"/>
        </w:rPr>
        <w:t>8.</w:t>
      </w:r>
      <w:r>
        <w:rPr>
          <w:rFonts w:ascii="Times New Roman" w:hAnsi="Times New Roman" w:eastAsia="仿宋_GB2312"/>
          <w:sz w:val="32"/>
          <w:szCs w:val="32"/>
        </w:rPr>
        <w:t>统计方法及结果评价</w:t>
      </w:r>
    </w:p>
    <w:p w14:paraId="3C010D5F">
      <w:pPr>
        <w:kinsoku w:val="0"/>
        <w:wordWrap w:val="0"/>
        <w:overflowPunct w:val="0"/>
        <w:topLinePunct/>
        <w:autoSpaceDE w:val="0"/>
        <w:autoSpaceDN w:val="0"/>
        <w:spacing w:line="520" w:lineRule="exact"/>
        <w:ind w:firstLine="640" w:firstLineChars="200"/>
        <w:outlineLvl w:val="2"/>
        <w:rPr>
          <w:rFonts w:ascii="Times New Roman" w:hAnsi="Times New Roman" w:eastAsia="仿宋_GB2312"/>
          <w:sz w:val="32"/>
          <w:szCs w:val="32"/>
        </w:rPr>
      </w:pPr>
      <w:r>
        <w:rPr>
          <w:rStyle w:val="27"/>
          <w:kern w:val="0"/>
          <w:sz w:val="32"/>
          <w:szCs w:val="32"/>
        </w:rPr>
        <w:t>8.1</w:t>
      </w:r>
      <w:r>
        <w:rPr>
          <w:rFonts w:ascii="Times New Roman" w:hAnsi="Times New Roman" w:eastAsia="仿宋_GB2312"/>
          <w:sz w:val="32"/>
          <w:szCs w:val="32"/>
        </w:rPr>
        <w:t>临床试验数据的分析应采用国内外公认的统计方法。应明确统计检验的类型、检验假设、判定疗效有临床意义的界值（优效、非劣效、等效界值或目标值）等，界值的确定应有客观依据。</w:t>
      </w:r>
    </w:p>
    <w:p w14:paraId="234BCB4B">
      <w:pPr>
        <w:pStyle w:val="28"/>
        <w:widowControl/>
        <w:kinsoku w:val="0"/>
        <w:wordWrap w:val="0"/>
        <w:overflowPunct w:val="0"/>
        <w:topLinePunct/>
        <w:spacing w:line="520" w:lineRule="exact"/>
        <w:ind w:firstLine="640" w:firstLineChars="200"/>
        <w:jc w:val="both"/>
        <w:rPr>
          <w:rStyle w:val="27"/>
          <w:rFonts w:eastAsia="仿宋_GB2312"/>
          <w:kern w:val="2"/>
          <w:sz w:val="32"/>
          <w:szCs w:val="32"/>
        </w:rPr>
      </w:pPr>
      <w:r>
        <w:rPr>
          <w:rStyle w:val="27"/>
          <w:rFonts w:eastAsia="仿宋_GB2312"/>
          <w:sz w:val="32"/>
          <w:szCs w:val="32"/>
        </w:rPr>
        <w:t>需严格按照临床试验方案进行临床试验，并在临床试验报告中提供安全性和有效性数据。注意可能其中有个别内容（如无症状破裂的信息）不适用于填充生理盐水的乳房植入体。</w:t>
      </w:r>
    </w:p>
    <w:p w14:paraId="76A55F1E">
      <w:pPr>
        <w:kinsoku w:val="0"/>
        <w:wordWrap w:val="0"/>
        <w:overflowPunct w:val="0"/>
        <w:topLinePunct/>
        <w:autoSpaceDE w:val="0"/>
        <w:autoSpaceDN w:val="0"/>
        <w:spacing w:line="520" w:lineRule="exact"/>
        <w:ind w:firstLine="640" w:firstLineChars="200"/>
        <w:rPr>
          <w:rStyle w:val="27"/>
          <w:rFonts w:eastAsia="仿宋_GB2312"/>
          <w:kern w:val="0"/>
          <w:sz w:val="32"/>
          <w:szCs w:val="32"/>
        </w:rPr>
      </w:pPr>
      <w:r>
        <w:rPr>
          <w:rStyle w:val="27"/>
          <w:rFonts w:eastAsia="仿宋_GB2312"/>
          <w:kern w:val="0"/>
          <w:sz w:val="32"/>
          <w:szCs w:val="32"/>
        </w:rPr>
        <w:t>8.2</w:t>
      </w:r>
      <w:r>
        <w:rPr>
          <w:rStyle w:val="27"/>
          <w:rFonts w:eastAsia="仿宋_GB2312"/>
          <w:sz w:val="32"/>
          <w:szCs w:val="32"/>
        </w:rPr>
        <w:t>失访分析</w:t>
      </w:r>
    </w:p>
    <w:p w14:paraId="45A81490">
      <w:pPr>
        <w:pStyle w:val="28"/>
        <w:widowControl/>
        <w:kinsoku w:val="0"/>
        <w:wordWrap w:val="0"/>
        <w:overflowPunct w:val="0"/>
        <w:topLinePunct/>
        <w:spacing w:line="520" w:lineRule="exact"/>
        <w:ind w:firstLine="640" w:firstLineChars="200"/>
        <w:jc w:val="both"/>
        <w:rPr>
          <w:rFonts w:eastAsia="仿宋_GB2312"/>
          <w:sz w:val="32"/>
          <w:szCs w:val="32"/>
        </w:rPr>
      </w:pPr>
      <w:r>
        <w:rPr>
          <w:rFonts w:eastAsia="仿宋_GB2312"/>
          <w:sz w:val="32"/>
          <w:szCs w:val="32"/>
        </w:rPr>
        <w:t>临床试验报告应明确所有病例是否全部完成随访，完成的随访病例是否均纳入统计。失访病例需明确失访原因。</w:t>
      </w:r>
    </w:p>
    <w:p w14:paraId="45BE2132">
      <w:pPr>
        <w:pStyle w:val="28"/>
        <w:widowControl/>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较高的失访率会影响临床试验的说服力，因此需提供一项具有完整数据受试者与无完整数据受试者的基线特征的对比，以查明是否存在非应答性偏差。需在临床试验结束时联络在随访中丢失的受试者，以确定这些受试者的结果是否与那些配合随访的受试者一致。</w:t>
      </w:r>
    </w:p>
    <w:p w14:paraId="162BB9E0">
      <w:pPr>
        <w:kinsoku w:val="0"/>
        <w:wordWrap w:val="0"/>
        <w:overflowPunct w:val="0"/>
        <w:topLinePunct/>
        <w:autoSpaceDE w:val="0"/>
        <w:autoSpaceDN w:val="0"/>
        <w:spacing w:line="520" w:lineRule="exact"/>
        <w:ind w:firstLine="640" w:firstLineChars="200"/>
        <w:rPr>
          <w:rStyle w:val="27"/>
          <w:rFonts w:eastAsia="仿宋_GB2312"/>
          <w:kern w:val="0"/>
          <w:sz w:val="32"/>
          <w:szCs w:val="32"/>
        </w:rPr>
      </w:pPr>
      <w:r>
        <w:rPr>
          <w:rStyle w:val="27"/>
          <w:rFonts w:eastAsia="仿宋_GB2312"/>
          <w:kern w:val="0"/>
          <w:sz w:val="32"/>
          <w:szCs w:val="32"/>
        </w:rPr>
        <w:t>8.3</w:t>
      </w:r>
      <w:r>
        <w:rPr>
          <w:rStyle w:val="27"/>
          <w:rFonts w:eastAsia="仿宋_GB2312"/>
          <w:sz w:val="32"/>
          <w:szCs w:val="32"/>
        </w:rPr>
        <w:t>人口统计学和基线特征</w:t>
      </w:r>
    </w:p>
    <w:p w14:paraId="3DCD8364">
      <w:pPr>
        <w:kinsoku w:val="0"/>
        <w:wordWrap w:val="0"/>
        <w:overflowPunct w:val="0"/>
        <w:topLinePunct/>
        <w:autoSpaceDE w:val="0"/>
        <w:autoSpaceDN w:val="0"/>
        <w:spacing w:line="520" w:lineRule="exact"/>
        <w:ind w:firstLine="640" w:firstLineChars="200"/>
        <w:rPr>
          <w:rStyle w:val="27"/>
          <w:rFonts w:eastAsia="仿宋_GB2312"/>
          <w:kern w:val="0"/>
          <w:sz w:val="32"/>
          <w:szCs w:val="32"/>
        </w:rPr>
      </w:pPr>
      <w:r>
        <w:rPr>
          <w:rStyle w:val="27"/>
          <w:rFonts w:eastAsia="仿宋_GB2312"/>
          <w:kern w:val="0"/>
          <w:sz w:val="32"/>
          <w:szCs w:val="32"/>
        </w:rPr>
        <w:t>临床方案中需规定收集以下关于人口统计学和基线特征的信息。</w:t>
      </w:r>
    </w:p>
    <w:p w14:paraId="3ACE32B6">
      <w:pPr>
        <w:kinsoku w:val="0"/>
        <w:wordWrap w:val="0"/>
        <w:overflowPunct w:val="0"/>
        <w:topLinePunct/>
        <w:autoSpaceDE w:val="0"/>
        <w:autoSpaceDN w:val="0"/>
        <w:spacing w:line="520" w:lineRule="exact"/>
        <w:ind w:firstLine="640" w:firstLineChars="200"/>
        <w:rPr>
          <w:rStyle w:val="27"/>
          <w:rFonts w:eastAsia="仿宋_GB2312"/>
          <w:kern w:val="0"/>
          <w:sz w:val="32"/>
          <w:szCs w:val="32"/>
        </w:rPr>
      </w:pPr>
      <w:r>
        <w:rPr>
          <w:rStyle w:val="27"/>
          <w:rFonts w:eastAsia="仿宋_GB2312"/>
          <w:kern w:val="0"/>
          <w:sz w:val="32"/>
          <w:szCs w:val="32"/>
        </w:rPr>
        <w:t>8.3.1受试者人口统计学（以受试者为基础）：受试者年龄、身高、体重、月经情况；</w:t>
      </w:r>
    </w:p>
    <w:p w14:paraId="51C6045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Style w:val="27"/>
          <w:rFonts w:eastAsia="仿宋_GB2312"/>
          <w:kern w:val="0"/>
          <w:sz w:val="32"/>
          <w:szCs w:val="32"/>
        </w:rPr>
        <w:t>8.3.2</w:t>
      </w:r>
      <w:r>
        <w:rPr>
          <w:rFonts w:ascii="Times New Roman" w:hAnsi="Times New Roman" w:eastAsia="仿宋_GB2312"/>
          <w:sz w:val="32"/>
          <w:szCs w:val="32"/>
        </w:rPr>
        <w:t>受试者基线特征（以受试者为基础）：预期用途（即隆乳、乳房再造、隆乳后植入物更换、再造后植入物更换）；</w:t>
      </w:r>
    </w:p>
    <w:p w14:paraId="3BB54030">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Style w:val="27"/>
          <w:rFonts w:eastAsia="仿宋_GB2312"/>
          <w:kern w:val="0"/>
          <w:sz w:val="32"/>
          <w:szCs w:val="32"/>
        </w:rPr>
        <w:t>8.3.3</w:t>
      </w:r>
      <w:r>
        <w:rPr>
          <w:rFonts w:ascii="Times New Roman" w:hAnsi="Times New Roman" w:eastAsia="仿宋_GB2312"/>
          <w:sz w:val="32"/>
          <w:szCs w:val="32"/>
        </w:rPr>
        <w:t>植入物基线特征（以植入物为基础）：</w:t>
      </w:r>
      <w:bookmarkStart w:id="11" w:name="OLE_LINK3"/>
      <w:r>
        <w:rPr>
          <w:rFonts w:ascii="Times New Roman" w:hAnsi="Times New Roman" w:eastAsia="仿宋_GB2312"/>
          <w:sz w:val="32"/>
          <w:szCs w:val="32"/>
        </w:rPr>
        <w:t>植入物表面类型</w:t>
      </w:r>
      <w:bookmarkEnd w:id="11"/>
      <w:r>
        <w:rPr>
          <w:rFonts w:ascii="Times New Roman" w:hAnsi="Times New Roman" w:eastAsia="仿宋_GB2312"/>
          <w:sz w:val="32"/>
          <w:szCs w:val="32"/>
        </w:rPr>
        <w:t>（如基于成品器械的表面粗糙度分为光面＜10μm、微绒毛面10~50μm、粗绒毛面＞50μm）、植入物形状（如圆型或解剖型）、植入物结构（如单腔、双腔）、植入物尺寸、阀的类型（如适用）；</w:t>
      </w:r>
    </w:p>
    <w:p w14:paraId="10C81386">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Style w:val="27"/>
          <w:rFonts w:eastAsia="仿宋_GB2312"/>
          <w:kern w:val="0"/>
          <w:sz w:val="32"/>
          <w:szCs w:val="32"/>
        </w:rPr>
        <w:t>8.3.4</w:t>
      </w:r>
      <w:r>
        <w:rPr>
          <w:rFonts w:ascii="Times New Roman" w:hAnsi="Times New Roman" w:eastAsia="仿宋_GB2312"/>
          <w:sz w:val="32"/>
          <w:szCs w:val="32"/>
        </w:rPr>
        <w:t>手术基线特征：切口位置（如乳晕切口、乳房下皱襞切口和腋窝切口）、切开大小、植入物植入位置（胸大肌下，乳腺下，或经皮肤扩张后的皮下）、乳房再造的时机（即刻植入或延迟植入）、术中灌洗袋及灌洗液的使用和类型（如适用）、术中放置负压引流管（如使用）。</w:t>
      </w:r>
    </w:p>
    <w:p w14:paraId="0723DC25">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8.4安全性指标分析举例</w:t>
      </w:r>
    </w:p>
    <w:p w14:paraId="5E7791BC">
      <w:pPr>
        <w:pStyle w:val="32"/>
        <w:widowControl/>
        <w:kinsoku w:val="0"/>
        <w:wordWrap w:val="0"/>
        <w:overflowPunct w:val="0"/>
        <w:topLinePunct/>
        <w:spacing w:line="520" w:lineRule="exact"/>
        <w:ind w:firstLine="640" w:firstLineChars="200"/>
        <w:jc w:val="both"/>
        <w:rPr>
          <w:rStyle w:val="27"/>
          <w:rFonts w:eastAsia="仿宋_GB2312"/>
          <w:sz w:val="32"/>
          <w:szCs w:val="32"/>
        </w:rPr>
      </w:pPr>
      <w:r>
        <w:rPr>
          <w:rStyle w:val="27"/>
          <w:rFonts w:eastAsia="仿宋_GB2312"/>
          <w:sz w:val="32"/>
          <w:szCs w:val="32"/>
        </w:rPr>
        <w:t>并发症的Kaplan-Meier分析需对每种并发症提供各组按逐个受试者和逐个乳房植入体的方式所进行的Kaplan-Meier分析，不管这些并发症是否与该乳房植入体有关。Kaplan-Meier分析应包括有植入物更换或无植入物更换的再手术和摘除。对于包膜挛缩，企业应对包膜挛缩</w:t>
      </w:r>
      <w:r>
        <w:rPr>
          <w:rStyle w:val="27"/>
          <w:sz w:val="32"/>
          <w:szCs w:val="32"/>
        </w:rPr>
        <w:t>Ⅱ</w:t>
      </w:r>
      <w:r>
        <w:rPr>
          <w:rStyle w:val="27"/>
          <w:rFonts w:eastAsia="仿宋_GB2312"/>
          <w:sz w:val="32"/>
          <w:szCs w:val="32"/>
        </w:rPr>
        <w:t>级、</w:t>
      </w:r>
      <w:r>
        <w:rPr>
          <w:rStyle w:val="27"/>
          <w:sz w:val="32"/>
          <w:szCs w:val="32"/>
        </w:rPr>
        <w:t>Ⅲ</w:t>
      </w:r>
      <w:r>
        <w:rPr>
          <w:rStyle w:val="27"/>
          <w:rFonts w:eastAsia="仿宋_GB2312"/>
          <w:sz w:val="32"/>
          <w:szCs w:val="32"/>
        </w:rPr>
        <w:t>级和</w:t>
      </w:r>
      <w:r>
        <w:rPr>
          <w:rStyle w:val="27"/>
          <w:sz w:val="32"/>
          <w:szCs w:val="32"/>
        </w:rPr>
        <w:t>Ⅳ</w:t>
      </w:r>
      <w:r>
        <w:rPr>
          <w:rStyle w:val="27"/>
          <w:rFonts w:eastAsia="仿宋_GB2312"/>
          <w:sz w:val="32"/>
          <w:szCs w:val="32"/>
        </w:rPr>
        <w:t>级分别进行分析，同时对包膜挛缩</w:t>
      </w:r>
      <w:r>
        <w:rPr>
          <w:rStyle w:val="27"/>
          <w:sz w:val="32"/>
          <w:szCs w:val="32"/>
        </w:rPr>
        <w:t>Ⅲ</w:t>
      </w:r>
      <w:r>
        <w:rPr>
          <w:rStyle w:val="27"/>
          <w:rFonts w:eastAsia="仿宋_GB2312"/>
          <w:sz w:val="32"/>
          <w:szCs w:val="32"/>
        </w:rPr>
        <w:t>级和</w:t>
      </w:r>
      <w:r>
        <w:rPr>
          <w:rStyle w:val="27"/>
          <w:sz w:val="32"/>
          <w:szCs w:val="32"/>
        </w:rPr>
        <w:t>Ⅳ</w:t>
      </w:r>
      <w:r>
        <w:rPr>
          <w:rStyle w:val="27"/>
          <w:rFonts w:eastAsia="仿宋_GB2312"/>
          <w:sz w:val="32"/>
          <w:szCs w:val="32"/>
        </w:rPr>
        <w:t>级进行合并分析。</w:t>
      </w:r>
    </w:p>
    <w:p w14:paraId="4A5AFBF6">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8.5有效性分析举例</w:t>
      </w:r>
    </w:p>
    <w:p w14:paraId="2C0BA631">
      <w:pPr>
        <w:kinsoku w:val="0"/>
        <w:wordWrap w:val="0"/>
        <w:overflowPunct w:val="0"/>
        <w:topLinePunct/>
        <w:autoSpaceDE w:val="0"/>
        <w:autoSpaceDN w:val="0"/>
        <w:spacing w:line="520" w:lineRule="exact"/>
        <w:ind w:firstLine="640" w:firstLineChars="200"/>
        <w:rPr>
          <w:rStyle w:val="27"/>
          <w:rFonts w:eastAsia="仿宋_GB2312"/>
          <w:kern w:val="0"/>
          <w:sz w:val="32"/>
          <w:szCs w:val="32"/>
        </w:rPr>
      </w:pPr>
      <w:r>
        <w:rPr>
          <w:rStyle w:val="27"/>
          <w:rFonts w:eastAsia="仿宋_GB2312"/>
          <w:sz w:val="32"/>
          <w:szCs w:val="32"/>
        </w:rPr>
        <w:t>需提供每个有效PRO度量平均值（±标准偏差）的变化（从术前到每次就诊）。对每个组都应逐个受试者地报告这些结果。分母应为每个就诊间隔内评价的受试者数。需把得到的结果与公开的正常PRO数据进行比较。</w:t>
      </w:r>
    </w:p>
    <w:p w14:paraId="2091943E">
      <w:pPr>
        <w:kinsoku w:val="0"/>
        <w:wordWrap w:val="0"/>
        <w:overflowPunct w:val="0"/>
        <w:topLinePunct/>
        <w:autoSpaceDE w:val="0"/>
        <w:autoSpaceDN w:val="0"/>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（五）产品说明书和标签样稿</w:t>
      </w:r>
    </w:p>
    <w:p w14:paraId="77C6E16F">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1.说明书、标签和包装标识应符合医疗器械说明书和标签相关规章文件的要求，还应符合YY/T0640《无源外科植入物 通用要求》和YY/T0647《无源外科植入物 乳房植入物的专用要求》中的相关要求。</w:t>
      </w:r>
    </w:p>
    <w:p w14:paraId="3EFC870D">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2.说明书提示信息应至少包括以下内容，其中对产品风险的</w:t>
      </w:r>
      <w:r>
        <w:rPr>
          <w:rFonts w:ascii="Times New Roman" w:hAnsi="Times New Roman" w:eastAsia="仿宋_GB2312"/>
          <w:kern w:val="0"/>
          <w:sz w:val="32"/>
          <w:szCs w:val="32"/>
        </w:rPr>
        <w:t>警示程度不得低于本指导原则所列内容：</w:t>
      </w:r>
    </w:p>
    <w:p w14:paraId="7D42965B">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2.1乳房植入体随着植入时间的增加，出现并发症的可能性也会增加，其中一些需要进行手术治疗，甚至取出乳房植入体。</w:t>
      </w:r>
    </w:p>
    <w:p w14:paraId="4314FAFF">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2.2任何相关的禁忌证（包括由于影响乳房植入体完整性或性能而禁忌的外科操作）。</w:t>
      </w:r>
    </w:p>
    <w:p w14:paraId="23C244AB">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2.3任何有关的适用警告，包括但不限于：</w:t>
      </w:r>
    </w:p>
    <w:p w14:paraId="6EE6C093">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2.3.1 BIA-ALCL相关的警示信息描述</w:t>
      </w:r>
    </w:p>
    <w:p w14:paraId="29AB9459">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BIA-ALCL是一种出现在乳房植入体周围的独特类型的T细胞淋巴瘤，BIA-ALCL是较为罕见的疾病，其具体发病率尚不确定。</w:t>
      </w:r>
    </w:p>
    <w:p w14:paraId="1549A568">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现已明确这种肿瘤的发生与乳房植入体表面特性相关。与光面乳房植入体相比，毛面植入体的BIA-ALCL风险更高。其中部分粗绒毛面乳房植入体与该肿瘤可能具有更高的相关性。</w:t>
      </w:r>
    </w:p>
    <w:p w14:paraId="5F26954F">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BIA-ALCL的主要临床表现是积液和肿块，当患者发现植入部位附近出现以上症状应及时就医，明确诊断并进行治疗。</w:t>
      </w:r>
    </w:p>
    <w:p w14:paraId="0A28EBEE">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2.3.2医生应关注BIA-ALCL等疾病的最新进展，在术前请将乳房植入体可能的风险告知患者，包括BIA-ALCL相关风险等信息。</w:t>
      </w:r>
    </w:p>
    <w:p w14:paraId="1759FDE1">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告知患者植入乳房植入体后遵医嘱定期复查，复查时间建议参照中华医学会整形外科学分会乳房专业学组发布的现行《硅胶乳房假体隆乳术临床技术指南》。</w:t>
      </w:r>
    </w:p>
    <w:p w14:paraId="3E09B5BF">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2.3.3不得进行闭合式包膜切开术，因为存在导致乳房植入体破裂的潜在风险。</w:t>
      </w:r>
    </w:p>
    <w:p w14:paraId="5E82D6F6">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2.3.4对于手术中充注生理盐水等内容物的乳房植入体，明确不得向乳房植入体中加入除了所推荐材料外的其他材料成分。</w:t>
      </w:r>
    </w:p>
    <w:p w14:paraId="571B40A0">
      <w:pPr>
        <w:kinsoku w:val="0"/>
        <w:wordWrap w:val="0"/>
        <w:overflowPunct w:val="0"/>
        <w:topLinePunct/>
        <w:autoSpaceDE w:val="0"/>
        <w:autoSpaceDN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2.3.5警告乳房植入体若过度膨胀或过度填充所造成的后果，包括暂时性的影响。</w:t>
      </w:r>
    </w:p>
    <w:p w14:paraId="0B555FB8">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2.4任何有关的预防措施。</w:t>
      </w:r>
    </w:p>
    <w:p w14:paraId="78042A8F">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2.5潜在并发症的列表，例如包膜挛缩、破裂、泄漏、缩小、起皱、全身反应等。针对并发症患者可采取的解决或缓解方法。</w:t>
      </w:r>
    </w:p>
    <w:p w14:paraId="0832212B">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2.6术前对患者的操作（如预防性抗生素）、手术室操作（如手术中应准备什么器材），以及有关问题的处理程序。</w:t>
      </w:r>
    </w:p>
    <w:p w14:paraId="27D2CE09">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2.7可采用的植入及手术方法。</w:t>
      </w:r>
    </w:p>
    <w:p w14:paraId="00BFD41C">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2.8术中测试程序，以确保乳房植入体的完整性和正确放置（如有必要）。</w:t>
      </w:r>
    </w:p>
    <w:p w14:paraId="7BD77CD6">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2.9术后患者护理的说明，包括手术后的预期状况、术后应向医生立即报告的症状、恢复期的时间长度、活动等限制情况、如何监测乳房植入体的完整性和位置等。</w:t>
      </w:r>
    </w:p>
    <w:p w14:paraId="09485EE8">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2.10关于如何避免或减少与外科操作有关的乳房植入体破裂的说明。</w:t>
      </w:r>
    </w:p>
    <w:p w14:paraId="0C4A5F12">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2.11植入物对诊断技术（如乳房成像、核磁等）的影响。对于带有微应答器的乳房植入体，应告知患者微应答器的功能及风险，让患者决定是否接受</w:t>
      </w:r>
      <w:r>
        <w:rPr>
          <w:rFonts w:ascii="Times New Roman" w:hAnsi="Times New Roman" w:eastAsia="仿宋_GB2312"/>
          <w:sz w:val="36"/>
          <w:szCs w:val="36"/>
        </w:rPr>
        <w:t>。</w:t>
      </w:r>
      <w:r>
        <w:rPr>
          <w:rFonts w:ascii="Times New Roman" w:hAnsi="Times New Roman" w:eastAsia="仿宋_GB2312"/>
          <w:sz w:val="32"/>
          <w:szCs w:val="32"/>
        </w:rPr>
        <w:t>详述带微应答器乳房植入体的磁共振兼容性相关的技术条件及注意事项。建议制作特定的患者信息卡以详细记录该产品磁共振兼容性相关的技术条件及注意事项。</w:t>
      </w:r>
    </w:p>
    <w:p w14:paraId="136BFBB3">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2.12乳房植入体的寿命是有限的，参照YY/T 0647明确有关预期寿命的信息。</w:t>
      </w:r>
    </w:p>
    <w:p w14:paraId="2AD97EDF">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2.13关于是否接受植入乳房植入体患者需考虑的各种因素（例如，乳房植入体的寿命是有限的，可能多次手术，植入后对乳房的影响及改变不可逆，乳房植入体可能会影响哺乳功能，常规的乳房影像筛查可能会更困难，可能会有健康保险覆盖范围的问题等）。</w:t>
      </w:r>
    </w:p>
    <w:p w14:paraId="2BDCC5CC">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2.14其他需要告知患者的信息，例如：乳房植入体的材料和原理（如预填充或充注式）、尺寸和形状、表面特征（光面或毛面）、作为植入物可被触摸感知、切口部位、预期受益及预期风险等。</w:t>
      </w:r>
    </w:p>
    <w:p w14:paraId="64BF38DF">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2.15乳房植入体有关的产品性能描述（依赖于乳房植入体的类型）。</w:t>
      </w:r>
    </w:p>
    <w:p w14:paraId="77FE29CA">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参照YY/T0647 描述乳房植入体的表面类型、平均粗糙度或峰值谷值信息，概述表面处理的方式</w:t>
      </w:r>
      <w:r>
        <w:rPr>
          <w:rFonts w:ascii="Times New Roman" w:hAnsi="Times New Roman" w:eastAsia="仿宋_GB2312"/>
          <w:kern w:val="0"/>
          <w:sz w:val="32"/>
          <w:szCs w:val="32"/>
        </w:rPr>
        <w:t>、毛面形成的方式</w:t>
      </w:r>
      <w:r>
        <w:rPr>
          <w:rFonts w:ascii="Times New Roman" w:hAnsi="Times New Roman" w:eastAsia="仿宋_GB2312"/>
          <w:sz w:val="32"/>
          <w:szCs w:val="32"/>
        </w:rPr>
        <w:t>。</w:t>
      </w:r>
    </w:p>
    <w:p w14:paraId="1FFD053C">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w:t>
      </w:r>
      <w:r>
        <w:rPr>
          <w:rFonts w:ascii="Times New Roman" w:hAnsi="Times New Roman" w:eastAsia="仿宋_GB2312"/>
          <w:kern w:val="0"/>
          <w:sz w:val="32"/>
          <w:szCs w:val="32"/>
        </w:rPr>
        <w:t>描述乳房植入体</w:t>
      </w:r>
      <w:r>
        <w:rPr>
          <w:rFonts w:ascii="Times New Roman" w:hAnsi="Times New Roman" w:eastAsia="仿宋_GB2312"/>
          <w:sz w:val="32"/>
          <w:szCs w:val="32"/>
        </w:rPr>
        <w:t>的充盈度、硅凝胶内容物的特性</w:t>
      </w:r>
      <w:r>
        <w:rPr>
          <w:rFonts w:ascii="Times New Roman" w:hAnsi="Times New Roman" w:eastAsia="仿宋_GB2312"/>
          <w:kern w:val="0"/>
          <w:sz w:val="32"/>
          <w:szCs w:val="32"/>
        </w:rPr>
        <w:t>（如内聚力、针入度等）相关信息</w:t>
      </w:r>
      <w:r>
        <w:rPr>
          <w:rFonts w:ascii="Times New Roman" w:hAnsi="Times New Roman" w:eastAsia="仿宋_GB2312"/>
          <w:sz w:val="32"/>
          <w:szCs w:val="32"/>
        </w:rPr>
        <w:t>。</w:t>
      </w:r>
    </w:p>
    <w:p w14:paraId="7718A516">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2.16对于微绒毛面和粗绒毛面的乳房植入体，建议基于临床评价资料，结合申报产品表面特性可能带来的受益与风险分别说明不同表面类型的乳房植入体临床应用的场景。</w:t>
      </w:r>
    </w:p>
    <w:p w14:paraId="4DF9C8FF">
      <w:pPr>
        <w:kinsoku w:val="0"/>
        <w:wordWrap w:val="0"/>
        <w:overflowPunct w:val="0"/>
        <w:topLinePunct/>
        <w:autoSpaceDE w:val="0"/>
        <w:autoSpaceDN w:val="0"/>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2.17在说明书中明确注册人、生产企业的联系方式，如电话、通讯地址、邮箱、传真等</w:t>
      </w:r>
      <w:r>
        <w:rPr>
          <w:rFonts w:ascii="Times New Roman" w:hAnsi="Times New Roman" w:eastAsia="楷体_GB2312"/>
          <w:sz w:val="32"/>
          <w:szCs w:val="32"/>
        </w:rPr>
        <w:t>。</w:t>
      </w:r>
    </w:p>
    <w:p w14:paraId="63C58060">
      <w:pPr>
        <w:kinsoku w:val="0"/>
        <w:wordWrap w:val="0"/>
        <w:overflowPunct w:val="0"/>
        <w:topLinePunct/>
        <w:autoSpaceDE w:val="0"/>
        <w:autoSpaceDN w:val="0"/>
        <w:spacing w:line="520" w:lineRule="exact"/>
        <w:ind w:firstLine="640" w:firstLineChars="200"/>
        <w:outlineLvl w:val="1"/>
        <w:rPr>
          <w:rFonts w:ascii="Times New Roman" w:hAnsi="Times New Roman" w:eastAsia="楷体_GB2312"/>
          <w:sz w:val="32"/>
          <w:szCs w:val="32"/>
        </w:rPr>
      </w:pPr>
      <w:r>
        <w:rPr>
          <w:rFonts w:ascii="Times New Roman" w:hAnsi="Times New Roman" w:eastAsia="楷体_GB2312"/>
          <w:sz w:val="32"/>
          <w:szCs w:val="32"/>
        </w:rPr>
        <w:t>（六）上市后随访要求</w:t>
      </w:r>
    </w:p>
    <w:p w14:paraId="5AEF42B1">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该类产品上市后，注册申请人需对植入的产品进行临床随访，收集不良事件，关注乳房植入体相关间变性大细胞淋巴瘤（BIA-ALCL）的发生情况，并对产品进行周期性的风险-受益评价。</w:t>
      </w:r>
    </w:p>
    <w:p w14:paraId="00C4CFBB">
      <w:pPr>
        <w:kinsoku w:val="0"/>
        <w:wordWrap w:val="0"/>
        <w:overflowPunct w:val="0"/>
        <w:topLinePunct/>
        <w:autoSpaceDE w:val="0"/>
        <w:autoSpaceDN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对于带有微应答器的乳房植入体，鉴于存在伪影效应等</w:t>
      </w:r>
      <w:bookmarkStart w:id="12" w:name="_Hlk148913475"/>
      <w:r>
        <w:rPr>
          <w:rFonts w:ascii="Times New Roman" w:hAnsi="Times New Roman" w:eastAsia="仿宋_GB2312"/>
          <w:sz w:val="32"/>
          <w:szCs w:val="30"/>
        </w:rPr>
        <w:t>磁共振</w:t>
      </w:r>
      <w:bookmarkEnd w:id="12"/>
      <w:r>
        <w:rPr>
          <w:rFonts w:ascii="Times New Roman" w:hAnsi="Times New Roman" w:eastAsia="仿宋_GB2312"/>
          <w:sz w:val="32"/>
          <w:szCs w:val="30"/>
        </w:rPr>
        <w:t>兼容性风险，对患者术后MRI检查胸部疾病的诊断准确性带来影响，建议申请人制定并严格按照相关实施计划以</w:t>
      </w:r>
      <w:r>
        <w:rPr>
          <w:rFonts w:ascii="Times New Roman" w:hAnsi="Times New Roman" w:eastAsia="仿宋_GB2312"/>
          <w:sz w:val="32"/>
          <w:szCs w:val="32"/>
        </w:rPr>
        <w:t>确保患者的知情权，帮助</w:t>
      </w:r>
      <w:r>
        <w:rPr>
          <w:rFonts w:ascii="Times New Roman" w:hAnsi="Times New Roman" w:eastAsia="仿宋_GB2312"/>
          <w:sz w:val="32"/>
          <w:szCs w:val="30"/>
        </w:rPr>
        <w:t>患者将磁共振兼容性</w:t>
      </w:r>
      <w:r>
        <w:rPr>
          <w:rFonts w:ascii="Times New Roman" w:hAnsi="Times New Roman" w:eastAsia="仿宋_GB2312"/>
          <w:sz w:val="32"/>
          <w:szCs w:val="32"/>
        </w:rPr>
        <w:t>相关的技术条件及注意事项</w:t>
      </w:r>
      <w:r>
        <w:rPr>
          <w:rFonts w:ascii="Times New Roman" w:hAnsi="Times New Roman" w:eastAsia="仿宋_GB2312"/>
          <w:sz w:val="32"/>
          <w:szCs w:val="30"/>
        </w:rPr>
        <w:t>准确地传达给其他的影像科医生。</w:t>
      </w:r>
    </w:p>
    <w:p w14:paraId="5986F293">
      <w:pPr>
        <w:kinsoku w:val="0"/>
        <w:wordWrap w:val="0"/>
        <w:overflowPunct w:val="0"/>
        <w:topLinePunct/>
        <w:autoSpaceDE w:val="0"/>
        <w:autoSpaceDN w:val="0"/>
        <w:spacing w:line="52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三、参考文献</w:t>
      </w:r>
    </w:p>
    <w:p w14:paraId="49E39B0A">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kern w:val="0"/>
          <w:sz w:val="32"/>
          <w:szCs w:val="28"/>
        </w:rPr>
      </w:pPr>
      <w:r>
        <w:rPr>
          <w:rFonts w:ascii="Times New Roman" w:hAnsi="Times New Roman" w:eastAsia="仿宋_GB2312"/>
          <w:sz w:val="32"/>
          <w:szCs w:val="32"/>
          <w:lang w:val="en"/>
        </w:rPr>
        <w:t>中华人民共和国国务院.</w:t>
      </w:r>
      <w:r>
        <w:rPr>
          <w:rFonts w:ascii="Times New Roman" w:hAnsi="Times New Roman" w:eastAsia="仿宋_GB2312"/>
          <w:sz w:val="32"/>
          <w:szCs w:val="32"/>
        </w:rPr>
        <w:t>医疗器械监督管理条例:</w:t>
      </w:r>
      <w:r>
        <w:rPr>
          <w:rFonts w:ascii="Times New Roman" w:hAnsi="Times New Roman" w:eastAsia="仿宋_GB2312"/>
          <w:sz w:val="32"/>
          <w:szCs w:val="32"/>
          <w:lang w:val="en"/>
        </w:rPr>
        <w:t>中华人民共和国国务院令第739号</w:t>
      </w:r>
      <w:r>
        <w:rPr>
          <w:rFonts w:ascii="Times New Roman" w:hAnsi="Times New Roman" w:eastAsia="仿宋_GB2312"/>
          <w:sz w:val="32"/>
          <w:szCs w:val="32"/>
        </w:rPr>
        <w:t>[Z].</w:t>
      </w:r>
    </w:p>
    <w:p w14:paraId="404ED2FD">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kern w:val="0"/>
          <w:sz w:val="32"/>
          <w:szCs w:val="28"/>
        </w:rPr>
      </w:pPr>
      <w:r>
        <w:rPr>
          <w:rFonts w:ascii="Times New Roman" w:hAnsi="Times New Roman" w:eastAsia="仿宋_GB2312"/>
          <w:sz w:val="32"/>
          <w:szCs w:val="32"/>
        </w:rPr>
        <w:t>国家市场监督管理总局.</w:t>
      </w:r>
      <w:r>
        <w:rPr>
          <w:rFonts w:ascii="Times New Roman" w:hAnsi="Times New Roman" w:eastAsia="仿宋_GB2312"/>
          <w:kern w:val="0"/>
          <w:sz w:val="32"/>
          <w:szCs w:val="28"/>
        </w:rPr>
        <w:t>医疗器械注册与备案管理办法</w:t>
      </w:r>
      <w:r>
        <w:rPr>
          <w:rFonts w:ascii="Times New Roman" w:hAnsi="Times New Roman" w:eastAsia="仿宋_GB2312"/>
          <w:sz w:val="32"/>
          <w:szCs w:val="32"/>
        </w:rPr>
        <w:t>:国家市场监督管理总局令第47号</w:t>
      </w:r>
      <w:r>
        <w:rPr>
          <w:rFonts w:ascii="Times New Roman" w:hAnsi="Times New Roman" w:eastAsia="仿宋_GB2312"/>
          <w:sz w:val="32"/>
          <w:szCs w:val="28"/>
        </w:rPr>
        <w:t>[Z].</w:t>
      </w:r>
    </w:p>
    <w:p w14:paraId="2F0508DC">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原国家食品药品监督管理总局.</w:t>
      </w:r>
      <w:r>
        <w:rPr>
          <w:rFonts w:ascii="Times New Roman" w:hAnsi="Times New Roman" w:eastAsia="仿宋_GB2312"/>
          <w:sz w:val="32"/>
          <w:szCs w:val="28"/>
        </w:rPr>
        <w:t>医疗器械分类目录</w:t>
      </w:r>
      <w:r>
        <w:rPr>
          <w:rFonts w:ascii="Times New Roman" w:hAnsi="Times New Roman" w:eastAsia="仿宋_GB2312"/>
          <w:sz w:val="32"/>
          <w:szCs w:val="32"/>
        </w:rPr>
        <w:t>:原国家食品药品监督管理总局公告2017年第104号</w:t>
      </w:r>
      <w:r>
        <w:rPr>
          <w:rFonts w:ascii="Times New Roman" w:hAnsi="Times New Roman" w:eastAsia="仿宋_GB2312"/>
          <w:sz w:val="32"/>
          <w:szCs w:val="28"/>
        </w:rPr>
        <w:t>[Z].</w:t>
      </w:r>
    </w:p>
    <w:p w14:paraId="3FEF3B5E">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w:t>
      </w:r>
      <w:r>
        <w:rPr>
          <w:rFonts w:ascii="Times New Roman" w:hAnsi="Times New Roman" w:eastAsia="仿宋_GB2312"/>
          <w:sz w:val="32"/>
          <w:szCs w:val="28"/>
        </w:rPr>
        <w:t>医疗器械通用名称命名指导原则:</w:t>
      </w:r>
      <w:r>
        <w:rPr>
          <w:rFonts w:ascii="Times New Roman" w:hAnsi="Times New Roman" w:eastAsia="仿宋_GB2312"/>
          <w:sz w:val="32"/>
          <w:szCs w:val="32"/>
        </w:rPr>
        <w:t>国家药品监督管理局通告2019年第99号</w:t>
      </w:r>
      <w:r>
        <w:rPr>
          <w:rFonts w:ascii="Times New Roman" w:hAnsi="Times New Roman" w:eastAsia="仿宋_GB2312"/>
          <w:sz w:val="32"/>
          <w:szCs w:val="28"/>
        </w:rPr>
        <w:t>[Z].</w:t>
      </w:r>
    </w:p>
    <w:p w14:paraId="1427BCE3">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原国家食品药品监督管理总局.</w:t>
      </w:r>
      <w:r>
        <w:rPr>
          <w:rFonts w:ascii="Times New Roman" w:hAnsi="Times New Roman" w:eastAsia="仿宋_GB2312"/>
          <w:sz w:val="32"/>
          <w:szCs w:val="28"/>
        </w:rPr>
        <w:t>医疗器械注册单元划分指导原则:</w:t>
      </w:r>
      <w:r>
        <w:rPr>
          <w:rFonts w:ascii="Times New Roman" w:hAnsi="Times New Roman" w:eastAsia="仿宋_GB2312"/>
          <w:sz w:val="32"/>
          <w:szCs w:val="32"/>
        </w:rPr>
        <w:t>原国家食品药品监督管理总局通告2017年第187号</w:t>
      </w:r>
      <w:r>
        <w:rPr>
          <w:rFonts w:ascii="Times New Roman" w:hAnsi="Times New Roman" w:eastAsia="仿宋_GB2312"/>
          <w:sz w:val="32"/>
          <w:szCs w:val="28"/>
        </w:rPr>
        <w:t>[Z].</w:t>
      </w:r>
    </w:p>
    <w:p w14:paraId="60F11FCB">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w:t>
      </w:r>
      <w:r>
        <w:rPr>
          <w:rFonts w:ascii="Times New Roman" w:hAnsi="Times New Roman" w:eastAsia="仿宋_GB2312"/>
          <w:kern w:val="0"/>
          <w:sz w:val="32"/>
          <w:szCs w:val="28"/>
        </w:rPr>
        <w:t>关于公布医疗器械注册申报资料要求和批准证明文件格式的公告:</w:t>
      </w:r>
      <w:r>
        <w:rPr>
          <w:rFonts w:ascii="Times New Roman" w:hAnsi="Times New Roman" w:eastAsia="仿宋_GB2312"/>
          <w:sz w:val="32"/>
          <w:szCs w:val="32"/>
        </w:rPr>
        <w:t>国家药品监督管理局公告2021年第121号</w:t>
      </w:r>
      <w:r>
        <w:rPr>
          <w:rFonts w:ascii="Times New Roman" w:hAnsi="Times New Roman" w:eastAsia="仿宋_GB2312"/>
          <w:sz w:val="32"/>
          <w:szCs w:val="28"/>
        </w:rPr>
        <w:t>[Z].</w:t>
      </w:r>
    </w:p>
    <w:p w14:paraId="22D9D1D8">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w:t>
      </w:r>
      <w:r>
        <w:rPr>
          <w:rFonts w:ascii="Times New Roman" w:hAnsi="Times New Roman" w:eastAsia="仿宋_GB2312"/>
          <w:sz w:val="32"/>
          <w:szCs w:val="28"/>
        </w:rPr>
        <w:t>医疗器械产品技术要求编写指导原则:</w:t>
      </w:r>
      <w:r>
        <w:rPr>
          <w:rFonts w:ascii="Times New Roman" w:hAnsi="Times New Roman" w:eastAsia="仿宋_GB2312"/>
          <w:sz w:val="32"/>
          <w:szCs w:val="32"/>
        </w:rPr>
        <w:t>国家药品监督管理局通告2022年第8号</w:t>
      </w:r>
      <w:r>
        <w:rPr>
          <w:rFonts w:ascii="Times New Roman" w:hAnsi="Times New Roman" w:eastAsia="仿宋_GB2312"/>
          <w:sz w:val="32"/>
          <w:szCs w:val="28"/>
        </w:rPr>
        <w:t>[Z].</w:t>
      </w:r>
    </w:p>
    <w:p w14:paraId="4864D70F">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16886,医疗器械生物学评价 系列标准[S].</w:t>
      </w:r>
    </w:p>
    <w:p w14:paraId="58A4AF6A">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w:t>
      </w:r>
      <w:r>
        <w:rPr>
          <w:rFonts w:ascii="Times New Roman" w:hAnsi="Times New Roman" w:eastAsia="仿宋_GB2312"/>
          <w:sz w:val="32"/>
          <w:szCs w:val="28"/>
        </w:rPr>
        <w:t>无源植入器械通用名称命名指导原则:</w:t>
      </w:r>
      <w:r>
        <w:rPr>
          <w:rFonts w:ascii="Times New Roman" w:hAnsi="Times New Roman" w:eastAsia="仿宋_GB2312"/>
          <w:sz w:val="32"/>
          <w:szCs w:val="32"/>
        </w:rPr>
        <w:t>国家药品监督管理局通告</w:t>
      </w:r>
      <w:r>
        <w:rPr>
          <w:rFonts w:ascii="Times New Roman" w:hAnsi="Times New Roman" w:eastAsia="仿宋_GB2312"/>
          <w:sz w:val="32"/>
          <w:szCs w:val="28"/>
        </w:rPr>
        <w:t>2020年第79号[Z].</w:t>
      </w:r>
    </w:p>
    <w:p w14:paraId="21D596EA">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w:t>
      </w:r>
      <w:r>
        <w:rPr>
          <w:rFonts w:ascii="Times New Roman" w:hAnsi="Times New Roman" w:eastAsia="仿宋_GB2312"/>
          <w:sz w:val="32"/>
          <w:szCs w:val="28"/>
        </w:rPr>
        <w:t>医疗器械动物试验研究注册审查指导原则系列指导原则</w:t>
      </w:r>
      <w:r>
        <w:rPr>
          <w:rFonts w:ascii="Times New Roman" w:hAnsi="Times New Roman" w:eastAsia="仿宋_GB2312"/>
          <w:sz w:val="32"/>
          <w:szCs w:val="32"/>
        </w:rPr>
        <w:t>:国家药品监督管理局通告2021年第75号</w:t>
      </w:r>
      <w:r>
        <w:rPr>
          <w:rFonts w:ascii="Times New Roman" w:hAnsi="Times New Roman" w:eastAsia="仿宋_GB2312"/>
          <w:sz w:val="32"/>
          <w:szCs w:val="28"/>
        </w:rPr>
        <w:t>[Z].</w:t>
      </w:r>
    </w:p>
    <w:p w14:paraId="4EF55C95">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w:t>
      </w:r>
      <w:r>
        <w:rPr>
          <w:rFonts w:ascii="Times New Roman" w:hAnsi="Times New Roman" w:eastAsia="仿宋_GB2312"/>
          <w:sz w:val="32"/>
          <w:szCs w:val="28"/>
        </w:rPr>
        <w:t>医疗器械临床评价技术指导原则:</w:t>
      </w:r>
      <w:r>
        <w:rPr>
          <w:rFonts w:ascii="Times New Roman" w:hAnsi="Times New Roman" w:eastAsia="仿宋_GB2312"/>
          <w:sz w:val="32"/>
          <w:szCs w:val="32"/>
        </w:rPr>
        <w:t>国家药品监督管理局通告</w:t>
      </w:r>
      <w:r>
        <w:rPr>
          <w:rFonts w:ascii="Times New Roman" w:hAnsi="Times New Roman" w:eastAsia="仿宋_GB2312"/>
          <w:sz w:val="32"/>
          <w:szCs w:val="28"/>
        </w:rPr>
        <w:t>2021年第73号[Z].</w:t>
      </w:r>
    </w:p>
    <w:p w14:paraId="7D70274C">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原国家食品药品监督管理总局.</w:t>
      </w:r>
      <w:r>
        <w:rPr>
          <w:rFonts w:ascii="Times New Roman" w:hAnsi="Times New Roman" w:eastAsia="仿宋_GB2312"/>
          <w:sz w:val="32"/>
          <w:szCs w:val="28"/>
        </w:rPr>
        <w:t>医疗器械说明书和标签管理规定:</w:t>
      </w:r>
      <w:r>
        <w:rPr>
          <w:rFonts w:ascii="Times New Roman" w:hAnsi="Times New Roman" w:eastAsia="仿宋_GB2312"/>
          <w:sz w:val="32"/>
          <w:szCs w:val="32"/>
        </w:rPr>
        <w:t>原国家食品药品监督管理总局令第6号</w:t>
      </w:r>
      <w:r>
        <w:rPr>
          <w:rFonts w:ascii="Times New Roman" w:hAnsi="Times New Roman" w:eastAsia="仿宋_GB2312"/>
          <w:sz w:val="32"/>
          <w:szCs w:val="28"/>
        </w:rPr>
        <w:t>[Z].</w:t>
      </w:r>
    </w:p>
    <w:p w14:paraId="023A8B25">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国家药品监督管理局医疗器械技术审评中心.</w:t>
      </w:r>
      <w:r>
        <w:rPr>
          <w:rFonts w:ascii="Times New Roman" w:hAnsi="Times New Roman" w:eastAsia="仿宋_GB2312"/>
          <w:spacing w:val="-4"/>
          <w:sz w:val="32"/>
          <w:szCs w:val="28"/>
        </w:rPr>
        <w:t>无源植入性医疗器械稳定性研究指导原则:</w:t>
      </w:r>
      <w:r>
        <w:rPr>
          <w:rFonts w:ascii="Times New Roman" w:hAnsi="Times New Roman" w:eastAsia="仿宋_GB2312"/>
          <w:sz w:val="32"/>
          <w:szCs w:val="32"/>
        </w:rPr>
        <w:t>国家药品监督管理局医疗器械技术审评中心2022年第12号</w:t>
      </w:r>
      <w:r>
        <w:rPr>
          <w:rFonts w:ascii="Times New Roman" w:hAnsi="Times New Roman" w:eastAsia="仿宋_GB2312"/>
          <w:kern w:val="0"/>
          <w:sz w:val="32"/>
          <w:szCs w:val="28"/>
        </w:rPr>
        <w:t>[Z].</w:t>
      </w:r>
    </w:p>
    <w:p w14:paraId="512A189D">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42062, 医疗器械风险管理对医疗器械的应用[S].</w:t>
      </w:r>
    </w:p>
    <w:p w14:paraId="2BB3B489">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FDA, Saline, Silicone Gel, Alternative Breast Implants, 2020</w:t>
      </w:r>
      <w:r>
        <w:rPr>
          <w:rFonts w:ascii="Times New Roman" w:hAnsi="Times New Roman" w:eastAsia="仿宋_GB2312"/>
          <w:kern w:val="0"/>
          <w:sz w:val="32"/>
          <w:szCs w:val="28"/>
        </w:rPr>
        <w:t>[Z].</w:t>
      </w:r>
    </w:p>
    <w:p w14:paraId="59786C1D">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FDA, Breast Implants -Certain Labeling Recommendations to Improve Patient Communication, 2020</w:t>
      </w:r>
      <w:r>
        <w:rPr>
          <w:rFonts w:ascii="Times New Roman" w:hAnsi="Times New Roman" w:eastAsia="仿宋_GB2312"/>
          <w:kern w:val="0"/>
          <w:sz w:val="32"/>
          <w:szCs w:val="28"/>
        </w:rPr>
        <w:t>[Z].</w:t>
      </w:r>
    </w:p>
    <w:p w14:paraId="085C68FC">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原国家食品药品监督管理总局.</w:t>
      </w:r>
      <w:r>
        <w:rPr>
          <w:rFonts w:ascii="Times New Roman" w:hAnsi="Times New Roman" w:eastAsia="仿宋_GB2312"/>
          <w:sz w:val="32"/>
          <w:szCs w:val="28"/>
        </w:rPr>
        <w:t>关于硅橡胶充填式人工乳房产品注册有关问题的通知:原国食药监械[2007]203号</w:t>
      </w:r>
      <w:r>
        <w:rPr>
          <w:rFonts w:ascii="Times New Roman" w:hAnsi="Times New Roman" w:eastAsia="仿宋_GB2312"/>
          <w:kern w:val="0"/>
          <w:sz w:val="32"/>
          <w:szCs w:val="28"/>
        </w:rPr>
        <w:t>[Z].</w:t>
      </w:r>
    </w:p>
    <w:p w14:paraId="0D7C294F">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YY/T0647 /ISO14607,无源外科植入物的专用要求[S].</w:t>
      </w:r>
    </w:p>
    <w:p w14:paraId="7A4E4AA0">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Handel etc.，silicone gel implants in breast augmentation and reconstruction，Annals of plastic surgery, volume 59, November 2007</w:t>
      </w:r>
      <w:r>
        <w:rPr>
          <w:rFonts w:ascii="Times New Roman" w:hAnsi="Times New Roman" w:eastAsia="仿宋_GB2312"/>
          <w:kern w:val="0"/>
          <w:sz w:val="32"/>
          <w:szCs w:val="28"/>
        </w:rPr>
        <w:t>[Z].2007.</w:t>
      </w:r>
    </w:p>
    <w:p w14:paraId="05D38349">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“Guideline for using breast magnetic resonance imaging to evaluate implant integrity”, Annals of plastic surgery, volume 62, April 2009[Z].2009.</w:t>
      </w:r>
    </w:p>
    <w:p w14:paraId="061D2AA1">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《中华人民共和国药典》2020版[S].</w:t>
      </w:r>
    </w:p>
    <w:p w14:paraId="66A85946">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32"/>
        </w:rPr>
        <w:t>国家药品监督管理局.</w:t>
      </w:r>
      <w:r>
        <w:rPr>
          <w:rFonts w:ascii="Times New Roman" w:hAnsi="Times New Roman" w:eastAsia="仿宋_GB2312"/>
          <w:sz w:val="32"/>
          <w:szCs w:val="28"/>
        </w:rPr>
        <w:t>医疗器械临床试验质量管理规范:</w:t>
      </w:r>
      <w:r>
        <w:rPr>
          <w:rFonts w:ascii="Times New Roman" w:hAnsi="Times New Roman" w:eastAsia="仿宋_GB2312"/>
          <w:sz w:val="32"/>
          <w:szCs w:val="32"/>
        </w:rPr>
        <w:t>国家药品监督管理局通告</w:t>
      </w:r>
      <w:r>
        <w:rPr>
          <w:rFonts w:ascii="Times New Roman" w:hAnsi="Times New Roman" w:eastAsia="仿宋_GB2312"/>
          <w:sz w:val="32"/>
          <w:szCs w:val="28"/>
        </w:rPr>
        <w:t>2022年第28号</w:t>
      </w:r>
      <w:r>
        <w:rPr>
          <w:rFonts w:ascii="Times New Roman" w:hAnsi="Times New Roman" w:eastAsia="仿宋_GB2312"/>
          <w:kern w:val="0"/>
          <w:sz w:val="32"/>
          <w:szCs w:val="28"/>
        </w:rPr>
        <w:t>[Z].</w:t>
      </w:r>
    </w:p>
    <w:p w14:paraId="7E1AC233">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0640,无源外科植入物 通用要求[S].</w:t>
      </w:r>
    </w:p>
    <w:p w14:paraId="78AD499F">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16175,医用有机硅材料生物学评价试验方法[S].</w:t>
      </w:r>
    </w:p>
    <w:p w14:paraId="69C3720C">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1457,无源外科植入物 硅凝胶填充乳房植入物中寡聚硅氧烷类物质测定方法[S].</w:t>
      </w:r>
    </w:p>
    <w:p w14:paraId="41145A82">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1555.1,硅凝胶填充乳房植入物专用要求 硅凝胶填充物性能要求 第1部分：易挥发性物质限量要求[S].</w:t>
      </w:r>
    </w:p>
    <w:p w14:paraId="6D46AAEC">
      <w:pPr>
        <w:numPr>
          <w:ilvl w:val="0"/>
          <w:numId w:val="1"/>
        </w:numPr>
        <w:tabs>
          <w:tab w:val="left" w:pos="360"/>
          <w:tab w:val="left" w:pos="952"/>
          <w:tab w:val="left" w:pos="1078"/>
          <w:tab w:val="left" w:pos="1140"/>
          <w:tab w:val="clear" w:pos="0"/>
        </w:tabs>
        <w:kinsoku w:val="0"/>
        <w:wordWrap w:val="0"/>
        <w:overflowPunct w:val="0"/>
        <w:topLinePunct/>
        <w:autoSpaceDE w:val="0"/>
        <w:autoSpaceDN w:val="0"/>
        <w:adjustRightInd w:val="0"/>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1555.2,硅凝胶填充乳房植入物专用要求 硅凝胶填充物性能要求 第2部分：可浸提物质限量要求[S].</w:t>
      </w:r>
    </w:p>
    <w:p w14:paraId="4A0AC8E8">
      <w:pPr>
        <w:kinsoku w:val="0"/>
        <w:wordWrap w:val="0"/>
        <w:overflowPunct w:val="0"/>
        <w:topLinePunct/>
        <w:autoSpaceDE w:val="0"/>
        <w:autoSpaceDN w:val="0"/>
        <w:spacing w:line="520" w:lineRule="exact"/>
        <w:jc w:val="left"/>
        <w:outlineLvl w:val="0"/>
        <w:rPr>
          <w:rFonts w:ascii="Times New Roman" w:hAnsi="Times New Roman" w:eastAsia="黑体"/>
          <w:sz w:val="32"/>
          <w:szCs w:val="32"/>
        </w:rPr>
      </w:pPr>
      <w:r>
        <w:rPr>
          <w:rFonts w:ascii="Times New Roman" w:hAnsi="Times New Roman" w:eastAsia="仿宋"/>
          <w:sz w:val="28"/>
          <w:szCs w:val="28"/>
        </w:rPr>
        <w:br w:type="page"/>
      </w:r>
      <w:r>
        <w:rPr>
          <w:rFonts w:ascii="Times New Roman" w:hAnsi="Times New Roman" w:eastAsia="黑体"/>
          <w:sz w:val="32"/>
          <w:szCs w:val="32"/>
        </w:rPr>
        <w:t>附表1</w:t>
      </w:r>
    </w:p>
    <w:p w14:paraId="664727D8">
      <w:pPr>
        <w:spacing w:line="520" w:lineRule="exact"/>
        <w:ind w:firstLine="640" w:firstLineChars="200"/>
        <w:jc w:val="left"/>
        <w:outlineLvl w:val="0"/>
        <w:rPr>
          <w:rFonts w:ascii="Times New Roman" w:hAnsi="Times New Roman" w:eastAsia="黑体"/>
          <w:sz w:val="32"/>
          <w:szCs w:val="32"/>
        </w:rPr>
      </w:pPr>
    </w:p>
    <w:tbl>
      <w:tblPr>
        <w:tblStyle w:val="11"/>
        <w:tblW w:w="83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2"/>
        <w:gridCol w:w="925"/>
        <w:gridCol w:w="1666"/>
        <w:gridCol w:w="1335"/>
        <w:gridCol w:w="1886"/>
        <w:gridCol w:w="1984"/>
      </w:tblGrid>
      <w:tr w14:paraId="31377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blHeader/>
          <w:jc w:val="center"/>
        </w:trPr>
        <w:tc>
          <w:tcPr>
            <w:tcW w:w="572" w:type="dxa"/>
            <w:vAlign w:val="center"/>
          </w:tcPr>
          <w:p w14:paraId="0CF4EF70">
            <w:pPr>
              <w:spacing w:line="400" w:lineRule="exact"/>
              <w:jc w:val="center"/>
              <w:rPr>
                <w:rFonts w:ascii="Times New Roman" w:hAnsi="Times New Roman" w:eastAsia="黑体"/>
                <w:kern w:val="0"/>
                <w:sz w:val="28"/>
                <w:szCs w:val="28"/>
              </w:rPr>
            </w:pPr>
            <w:r>
              <w:rPr>
                <w:rFonts w:ascii="Times New Roman" w:hAnsi="Times New Roman" w:eastAsia="黑体"/>
                <w:kern w:val="0"/>
                <w:sz w:val="28"/>
                <w:szCs w:val="28"/>
              </w:rPr>
              <w:t>序号</w:t>
            </w:r>
          </w:p>
        </w:tc>
        <w:tc>
          <w:tcPr>
            <w:tcW w:w="2591" w:type="dxa"/>
            <w:gridSpan w:val="2"/>
            <w:vAlign w:val="center"/>
          </w:tcPr>
          <w:p w14:paraId="0A5E94FB">
            <w:pPr>
              <w:spacing w:line="400" w:lineRule="exact"/>
              <w:jc w:val="center"/>
              <w:rPr>
                <w:rFonts w:ascii="Times New Roman" w:hAnsi="Times New Roman" w:eastAsia="黑体"/>
                <w:kern w:val="0"/>
                <w:sz w:val="28"/>
                <w:szCs w:val="28"/>
              </w:rPr>
            </w:pPr>
            <w:r>
              <w:rPr>
                <w:rFonts w:ascii="Times New Roman" w:hAnsi="Times New Roman" w:eastAsia="黑体"/>
                <w:kern w:val="0"/>
                <w:sz w:val="28"/>
                <w:szCs w:val="28"/>
              </w:rPr>
              <w:t>建议的性能研究项目</w:t>
            </w:r>
          </w:p>
        </w:tc>
        <w:tc>
          <w:tcPr>
            <w:tcW w:w="1335" w:type="dxa"/>
            <w:vAlign w:val="center"/>
          </w:tcPr>
          <w:p w14:paraId="50F8A703">
            <w:pPr>
              <w:spacing w:line="400" w:lineRule="exact"/>
              <w:jc w:val="center"/>
              <w:rPr>
                <w:rFonts w:ascii="Times New Roman" w:hAnsi="Times New Roman" w:eastAsia="黑体"/>
                <w:kern w:val="0"/>
                <w:sz w:val="28"/>
                <w:szCs w:val="28"/>
              </w:rPr>
            </w:pPr>
            <w:r>
              <w:rPr>
                <w:rFonts w:ascii="Times New Roman" w:hAnsi="Times New Roman" w:eastAsia="黑体"/>
                <w:kern w:val="0"/>
                <w:sz w:val="28"/>
                <w:szCs w:val="28"/>
              </w:rPr>
              <w:t>是否建议纳入产品技术要求</w:t>
            </w:r>
          </w:p>
        </w:tc>
        <w:tc>
          <w:tcPr>
            <w:tcW w:w="1886" w:type="dxa"/>
            <w:vAlign w:val="center"/>
          </w:tcPr>
          <w:p w14:paraId="66A724F7">
            <w:pPr>
              <w:spacing w:line="400" w:lineRule="exact"/>
              <w:jc w:val="center"/>
              <w:rPr>
                <w:rFonts w:ascii="Times New Roman" w:hAnsi="Times New Roman" w:eastAsia="黑体"/>
                <w:kern w:val="0"/>
                <w:sz w:val="28"/>
                <w:szCs w:val="28"/>
              </w:rPr>
            </w:pPr>
            <w:r>
              <w:rPr>
                <w:rFonts w:ascii="Times New Roman" w:hAnsi="Times New Roman" w:eastAsia="黑体"/>
                <w:kern w:val="0"/>
                <w:sz w:val="28"/>
                <w:szCs w:val="28"/>
              </w:rPr>
              <w:t>是否需以研究资料形式提供</w:t>
            </w:r>
          </w:p>
        </w:tc>
        <w:tc>
          <w:tcPr>
            <w:tcW w:w="1984" w:type="dxa"/>
            <w:vAlign w:val="center"/>
          </w:tcPr>
          <w:p w14:paraId="72862442">
            <w:pPr>
              <w:spacing w:line="400" w:lineRule="exact"/>
              <w:jc w:val="center"/>
              <w:rPr>
                <w:rFonts w:ascii="Times New Roman" w:hAnsi="Times New Roman" w:eastAsia="黑体"/>
                <w:kern w:val="0"/>
                <w:sz w:val="28"/>
                <w:szCs w:val="28"/>
              </w:rPr>
            </w:pPr>
            <w:r>
              <w:rPr>
                <w:rFonts w:ascii="Times New Roman" w:hAnsi="Times New Roman" w:eastAsia="黑体"/>
                <w:kern w:val="0"/>
                <w:sz w:val="28"/>
                <w:szCs w:val="28"/>
              </w:rPr>
              <w:t>备注</w:t>
            </w:r>
          </w:p>
        </w:tc>
      </w:tr>
      <w:tr w14:paraId="58447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368" w:type="dxa"/>
            <w:gridSpan w:val="6"/>
            <w:shd w:val="clear" w:color="auto" w:fill="EDEDED"/>
            <w:vAlign w:val="center"/>
          </w:tcPr>
          <w:p w14:paraId="78F16308">
            <w:pPr>
              <w:spacing w:line="400" w:lineRule="exact"/>
              <w:rPr>
                <w:rFonts w:ascii="Times New Roman" w:hAnsi="Times New Roman" w:eastAsia="仿宋_GB2312"/>
                <w:b/>
                <w:kern w:val="0"/>
                <w:sz w:val="28"/>
                <w:szCs w:val="28"/>
              </w:rPr>
            </w:pPr>
            <w:r>
              <w:rPr>
                <w:rFonts w:ascii="Times New Roman" w:hAnsi="Times New Roman" w:eastAsia="仿宋_GB2312"/>
                <w:b/>
                <w:kern w:val="0"/>
                <w:sz w:val="28"/>
                <w:szCs w:val="28"/>
              </w:rPr>
              <w:t>一般性要求</w:t>
            </w:r>
          </w:p>
        </w:tc>
      </w:tr>
      <w:tr w14:paraId="45FC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4A5A2BA2">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453149F2">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外观</w:t>
            </w:r>
          </w:p>
        </w:tc>
        <w:tc>
          <w:tcPr>
            <w:tcW w:w="1335" w:type="dxa"/>
            <w:vAlign w:val="center"/>
          </w:tcPr>
          <w:p w14:paraId="6857E2A6">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39943AD0">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1A689879">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2EE00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jc w:val="center"/>
        </w:trPr>
        <w:tc>
          <w:tcPr>
            <w:tcW w:w="572" w:type="dxa"/>
            <w:vAlign w:val="center"/>
          </w:tcPr>
          <w:p w14:paraId="3525369C">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3A7F402A">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尺寸[容积/重量、基底尺寸、凸度、特殊形状或结构所涉及的其他尺寸及允差（包括上限及下限）]</w:t>
            </w:r>
          </w:p>
        </w:tc>
        <w:tc>
          <w:tcPr>
            <w:tcW w:w="1335" w:type="dxa"/>
            <w:vAlign w:val="center"/>
          </w:tcPr>
          <w:p w14:paraId="683F7FA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20D51AA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7C306C03">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53057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jc w:val="center"/>
        </w:trPr>
        <w:tc>
          <w:tcPr>
            <w:tcW w:w="572" w:type="dxa"/>
            <w:vAlign w:val="center"/>
          </w:tcPr>
          <w:p w14:paraId="120BD0C9">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23306969">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表面特性</w:t>
            </w:r>
          </w:p>
        </w:tc>
        <w:tc>
          <w:tcPr>
            <w:tcW w:w="1335" w:type="dxa"/>
            <w:vAlign w:val="center"/>
          </w:tcPr>
          <w:p w14:paraId="59BDD0E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6D61EACE">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5324D91E">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不同表面设计的产品应分别制定性能指标</w:t>
            </w:r>
          </w:p>
        </w:tc>
      </w:tr>
      <w:tr w14:paraId="2BBE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097C736F">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22CFCC77">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无菌</w:t>
            </w:r>
          </w:p>
        </w:tc>
        <w:tc>
          <w:tcPr>
            <w:tcW w:w="1335" w:type="dxa"/>
            <w:vAlign w:val="center"/>
          </w:tcPr>
          <w:p w14:paraId="693EA563">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6EACE76B">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09DA863A">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4889D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2" w:type="dxa"/>
            <w:vAlign w:val="center"/>
          </w:tcPr>
          <w:p w14:paraId="59A6D858">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3AE15F68">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EO残留</w:t>
            </w:r>
          </w:p>
        </w:tc>
        <w:tc>
          <w:tcPr>
            <w:tcW w:w="1335" w:type="dxa"/>
            <w:vAlign w:val="center"/>
          </w:tcPr>
          <w:p w14:paraId="5C032C12">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63643A20">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2A1AE519">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适用于EO灭菌的产品</w:t>
            </w:r>
          </w:p>
        </w:tc>
      </w:tr>
      <w:tr w14:paraId="7157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368" w:type="dxa"/>
            <w:gridSpan w:val="6"/>
            <w:shd w:val="clear" w:color="auto" w:fill="EDEDED"/>
            <w:vAlign w:val="center"/>
          </w:tcPr>
          <w:p w14:paraId="6B7E2183">
            <w:pPr>
              <w:spacing w:line="400" w:lineRule="exact"/>
              <w:jc w:val="left"/>
              <w:rPr>
                <w:rFonts w:ascii="Times New Roman" w:hAnsi="Times New Roman" w:eastAsia="仿宋_GB2312"/>
                <w:b/>
                <w:kern w:val="0"/>
                <w:sz w:val="28"/>
                <w:szCs w:val="28"/>
              </w:rPr>
            </w:pPr>
            <w:r>
              <w:rPr>
                <w:rFonts w:ascii="Times New Roman" w:hAnsi="Times New Roman" w:eastAsia="仿宋_GB2312"/>
                <w:b/>
                <w:kern w:val="0"/>
                <w:sz w:val="28"/>
                <w:szCs w:val="28"/>
              </w:rPr>
              <w:t>物理机械性能要求</w:t>
            </w:r>
          </w:p>
        </w:tc>
      </w:tr>
      <w:tr w14:paraId="3636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21D4F62A">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2E5FE1F1">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壳体扯断伸长率—下限</w:t>
            </w:r>
          </w:p>
        </w:tc>
        <w:tc>
          <w:tcPr>
            <w:tcW w:w="1335" w:type="dxa"/>
            <w:vAlign w:val="center"/>
          </w:tcPr>
          <w:p w14:paraId="65AB52C7">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29A5DB09">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774831E7">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4BFB8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21D642EC">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6B214DA8">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壳体拉伸永久变形—上限</w:t>
            </w:r>
          </w:p>
        </w:tc>
        <w:tc>
          <w:tcPr>
            <w:tcW w:w="1335" w:type="dxa"/>
            <w:vAlign w:val="center"/>
          </w:tcPr>
          <w:p w14:paraId="51BBA341">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3487AF4E">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276DD1C4">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70BEB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2" w:type="dxa"/>
            <w:vAlign w:val="center"/>
          </w:tcPr>
          <w:p w14:paraId="29110A2D">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111273E2">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壳体连接、接缝或封口的强度—下限</w:t>
            </w:r>
          </w:p>
        </w:tc>
        <w:tc>
          <w:tcPr>
            <w:tcW w:w="1335" w:type="dxa"/>
            <w:vAlign w:val="center"/>
          </w:tcPr>
          <w:p w14:paraId="451C1A01">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1969B02D">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231EB138">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2DA0A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53555A15">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55B0D440">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抗冲击性能—下限</w:t>
            </w:r>
          </w:p>
        </w:tc>
        <w:tc>
          <w:tcPr>
            <w:tcW w:w="1335" w:type="dxa"/>
            <w:vAlign w:val="center"/>
          </w:tcPr>
          <w:p w14:paraId="10C6D43A">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6E6B9894">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5557A75A">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499E7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511C09AF">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14EA1B1C">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硅凝胶内聚力—上限</w:t>
            </w:r>
          </w:p>
        </w:tc>
        <w:tc>
          <w:tcPr>
            <w:tcW w:w="1335" w:type="dxa"/>
            <w:vAlign w:val="center"/>
          </w:tcPr>
          <w:p w14:paraId="432D6F54">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1C4E778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6949CDFD">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3F5D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572" w:type="dxa"/>
            <w:vAlign w:val="center"/>
          </w:tcPr>
          <w:p w14:paraId="3D3CA52E">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799DFCB0">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渗出（扩散）试验</w:t>
            </w:r>
          </w:p>
        </w:tc>
        <w:tc>
          <w:tcPr>
            <w:tcW w:w="1335" w:type="dxa"/>
            <w:vAlign w:val="center"/>
          </w:tcPr>
          <w:p w14:paraId="439066E1">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77F0E8A2">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5F223B3B">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57ECB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572" w:type="dxa"/>
            <w:vAlign w:val="center"/>
          </w:tcPr>
          <w:p w14:paraId="13341ABB">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7DDC419D">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表面微粒污染</w:t>
            </w:r>
          </w:p>
        </w:tc>
        <w:tc>
          <w:tcPr>
            <w:tcW w:w="1335" w:type="dxa"/>
            <w:vAlign w:val="center"/>
          </w:tcPr>
          <w:p w14:paraId="10BA1EB3">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585E3C94">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65795D3E">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401D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5F17B6E9">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45C15D2F">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阀泄漏</w:t>
            </w:r>
          </w:p>
        </w:tc>
        <w:tc>
          <w:tcPr>
            <w:tcW w:w="1335" w:type="dxa"/>
            <w:vAlign w:val="center"/>
          </w:tcPr>
          <w:p w14:paraId="7988E6B3">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14493E25">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02FD3418">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适用于带阀的植入物</w:t>
            </w:r>
          </w:p>
        </w:tc>
      </w:tr>
      <w:tr w14:paraId="0852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1C9DDCFB">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09CACEEF">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注射部位泄漏</w:t>
            </w:r>
          </w:p>
        </w:tc>
        <w:tc>
          <w:tcPr>
            <w:tcW w:w="1335" w:type="dxa"/>
            <w:vAlign w:val="center"/>
          </w:tcPr>
          <w:p w14:paraId="4C1B5767">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419ED944">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48310F49">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适用于带注射部件的植入物</w:t>
            </w:r>
          </w:p>
        </w:tc>
      </w:tr>
      <w:tr w14:paraId="5BE7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572" w:type="dxa"/>
            <w:vAlign w:val="center"/>
          </w:tcPr>
          <w:p w14:paraId="04398853">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5260AC7F">
            <w:pPr>
              <w:spacing w:line="400" w:lineRule="exact"/>
              <w:jc w:val="left"/>
              <w:rPr>
                <w:rFonts w:ascii="Times New Roman" w:hAnsi="Times New Roman" w:eastAsia="仿宋_GB2312"/>
                <w:kern w:val="0"/>
                <w:sz w:val="28"/>
                <w:szCs w:val="28"/>
              </w:rPr>
            </w:pPr>
            <w:bookmarkStart w:id="13" w:name="_Hlk122594668"/>
            <w:r>
              <w:rPr>
                <w:rFonts w:ascii="Times New Roman" w:hAnsi="Times New Roman" w:eastAsia="仿宋_GB2312"/>
                <w:kern w:val="0"/>
                <w:sz w:val="28"/>
                <w:szCs w:val="28"/>
              </w:rPr>
              <w:t>部件间连接强度</w:t>
            </w:r>
            <w:bookmarkEnd w:id="13"/>
          </w:p>
        </w:tc>
        <w:tc>
          <w:tcPr>
            <w:tcW w:w="1335" w:type="dxa"/>
            <w:vAlign w:val="center"/>
          </w:tcPr>
          <w:p w14:paraId="3E328810">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5BFFAA4C">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28D1D776">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适用于多层结构或由不同部件连接的植入物</w:t>
            </w:r>
          </w:p>
        </w:tc>
      </w:tr>
      <w:tr w14:paraId="47476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3B327B15">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34778E23">
            <w:pPr>
              <w:spacing w:line="400" w:lineRule="exact"/>
              <w:jc w:val="left"/>
              <w:rPr>
                <w:rFonts w:ascii="Times New Roman" w:hAnsi="Times New Roman" w:eastAsia="仿宋_GB2312"/>
                <w:kern w:val="0"/>
                <w:sz w:val="28"/>
                <w:szCs w:val="28"/>
              </w:rPr>
            </w:pPr>
            <w:bookmarkStart w:id="14" w:name="_Hlk122594624"/>
            <w:r>
              <w:rPr>
                <w:rFonts w:ascii="Times New Roman" w:hAnsi="Times New Roman" w:eastAsia="仿宋_GB2312"/>
                <w:kern w:val="0"/>
                <w:sz w:val="28"/>
                <w:szCs w:val="28"/>
              </w:rPr>
              <w:t>硅凝胶针入度</w:t>
            </w:r>
            <w:bookmarkEnd w:id="14"/>
          </w:p>
        </w:tc>
        <w:tc>
          <w:tcPr>
            <w:tcW w:w="1335" w:type="dxa"/>
            <w:vAlign w:val="center"/>
          </w:tcPr>
          <w:p w14:paraId="6CE21E2C">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vAlign w:val="center"/>
          </w:tcPr>
          <w:p w14:paraId="2260DAD3">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3AEF2D86">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6AFB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6F0AEAC7">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4A28AEA0">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疲劳性能</w:t>
            </w:r>
          </w:p>
        </w:tc>
        <w:tc>
          <w:tcPr>
            <w:tcW w:w="1335" w:type="dxa"/>
            <w:vAlign w:val="center"/>
          </w:tcPr>
          <w:p w14:paraId="5C86C407">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vAlign w:val="center"/>
          </w:tcPr>
          <w:p w14:paraId="03A055F6">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0D5BFECB">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观察壳体破裂迹象</w:t>
            </w:r>
          </w:p>
        </w:tc>
      </w:tr>
      <w:tr w14:paraId="442A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0E08D106">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1C1D9F15">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壳体耐磨性能</w:t>
            </w:r>
          </w:p>
        </w:tc>
        <w:tc>
          <w:tcPr>
            <w:tcW w:w="1335" w:type="dxa"/>
            <w:vAlign w:val="center"/>
          </w:tcPr>
          <w:p w14:paraId="70DC246A">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vAlign w:val="center"/>
          </w:tcPr>
          <w:p w14:paraId="0C44447A">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132F7808">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0A69A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368" w:type="dxa"/>
            <w:gridSpan w:val="6"/>
            <w:shd w:val="clear" w:color="auto" w:fill="EDEDED"/>
            <w:vAlign w:val="center"/>
          </w:tcPr>
          <w:p w14:paraId="2AFE0AB9">
            <w:pPr>
              <w:spacing w:line="400" w:lineRule="exact"/>
              <w:jc w:val="left"/>
              <w:rPr>
                <w:rFonts w:ascii="Times New Roman" w:hAnsi="Times New Roman" w:eastAsia="仿宋_GB2312"/>
                <w:b/>
                <w:kern w:val="0"/>
                <w:sz w:val="28"/>
                <w:szCs w:val="28"/>
              </w:rPr>
            </w:pPr>
            <w:r>
              <w:rPr>
                <w:rFonts w:ascii="Times New Roman" w:hAnsi="Times New Roman" w:eastAsia="仿宋_GB2312"/>
                <w:b/>
                <w:kern w:val="0"/>
                <w:sz w:val="28"/>
                <w:szCs w:val="28"/>
              </w:rPr>
              <w:t>化学性能要求</w:t>
            </w:r>
          </w:p>
        </w:tc>
      </w:tr>
      <w:tr w14:paraId="6A952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2274B69B">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762A144C">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壳体干燥失重</w:t>
            </w:r>
          </w:p>
        </w:tc>
        <w:tc>
          <w:tcPr>
            <w:tcW w:w="1335" w:type="dxa"/>
            <w:vAlign w:val="center"/>
          </w:tcPr>
          <w:p w14:paraId="2B6C561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24163F47">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245FA58F">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1E479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8" w:hRule="atLeast"/>
          <w:jc w:val="center"/>
        </w:trPr>
        <w:tc>
          <w:tcPr>
            <w:tcW w:w="572" w:type="dxa"/>
            <w:vAlign w:val="center"/>
          </w:tcPr>
          <w:p w14:paraId="62993180">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638C92FD">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壳体微量元素</w:t>
            </w:r>
          </w:p>
        </w:tc>
        <w:tc>
          <w:tcPr>
            <w:tcW w:w="1335" w:type="dxa"/>
            <w:vAlign w:val="center"/>
          </w:tcPr>
          <w:p w14:paraId="76700973">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764ACBB6">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2840330F">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至少包括以下微量元素：铅Pb、镉Cd、砷As、铬Cr、铁Fe、铂Pt、锡Sn、锌Zn、锑Sb、镍Ni、铜Cu</w:t>
            </w:r>
          </w:p>
        </w:tc>
      </w:tr>
      <w:tr w14:paraId="4B8A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572" w:type="dxa"/>
            <w:vAlign w:val="center"/>
          </w:tcPr>
          <w:p w14:paraId="37F8571E">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925" w:type="dxa"/>
            <w:vMerge w:val="restart"/>
            <w:vAlign w:val="center"/>
          </w:tcPr>
          <w:p w14:paraId="3C873623">
            <w:pPr>
              <w:spacing w:line="400" w:lineRule="exact"/>
              <w:jc w:val="left"/>
              <w:rPr>
                <w:rFonts w:ascii="Times New Roman" w:hAnsi="Times New Roman" w:eastAsia="仿宋_GB2312"/>
                <w:kern w:val="0"/>
                <w:sz w:val="28"/>
                <w:szCs w:val="28"/>
              </w:rPr>
            </w:pPr>
          </w:p>
          <w:p w14:paraId="3002D546">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壳体溶出物要求</w:t>
            </w:r>
          </w:p>
          <w:p w14:paraId="3F19D471">
            <w:pPr>
              <w:spacing w:line="400" w:lineRule="exact"/>
              <w:jc w:val="left"/>
              <w:rPr>
                <w:rFonts w:ascii="Times New Roman" w:hAnsi="Times New Roman" w:eastAsia="仿宋_GB2312"/>
                <w:kern w:val="0"/>
                <w:sz w:val="28"/>
                <w:szCs w:val="28"/>
              </w:rPr>
            </w:pPr>
          </w:p>
          <w:p w14:paraId="290073D3">
            <w:pPr>
              <w:spacing w:line="400" w:lineRule="exact"/>
              <w:jc w:val="left"/>
              <w:rPr>
                <w:rFonts w:ascii="Times New Roman" w:hAnsi="Times New Roman" w:eastAsia="仿宋_GB2312"/>
                <w:kern w:val="0"/>
                <w:sz w:val="28"/>
                <w:szCs w:val="28"/>
              </w:rPr>
            </w:pPr>
          </w:p>
          <w:p w14:paraId="07F0A768">
            <w:pPr>
              <w:spacing w:line="400" w:lineRule="exact"/>
              <w:jc w:val="left"/>
              <w:rPr>
                <w:rFonts w:ascii="Times New Roman" w:hAnsi="Times New Roman" w:eastAsia="仿宋_GB2312"/>
                <w:kern w:val="0"/>
                <w:sz w:val="28"/>
                <w:szCs w:val="28"/>
              </w:rPr>
            </w:pPr>
          </w:p>
          <w:p w14:paraId="7375DE14">
            <w:pPr>
              <w:spacing w:line="400" w:lineRule="exact"/>
              <w:jc w:val="left"/>
              <w:rPr>
                <w:rFonts w:ascii="Times New Roman" w:hAnsi="Times New Roman" w:eastAsia="仿宋_GB2312"/>
                <w:kern w:val="0"/>
                <w:sz w:val="28"/>
                <w:szCs w:val="28"/>
              </w:rPr>
            </w:pPr>
          </w:p>
          <w:p w14:paraId="04E2DE2B">
            <w:pPr>
              <w:spacing w:line="400" w:lineRule="exact"/>
              <w:jc w:val="left"/>
              <w:rPr>
                <w:rFonts w:ascii="Times New Roman" w:hAnsi="Times New Roman" w:eastAsia="仿宋_GB2312"/>
                <w:kern w:val="0"/>
                <w:sz w:val="28"/>
                <w:szCs w:val="28"/>
              </w:rPr>
            </w:pPr>
          </w:p>
          <w:p w14:paraId="7EA277B5">
            <w:pPr>
              <w:spacing w:line="400" w:lineRule="exact"/>
              <w:jc w:val="left"/>
              <w:rPr>
                <w:rFonts w:hint="eastAsia" w:ascii="Times New Roman" w:hAnsi="Times New Roman" w:eastAsia="仿宋_GB2312"/>
                <w:kern w:val="0"/>
                <w:sz w:val="28"/>
                <w:szCs w:val="28"/>
              </w:rPr>
            </w:pPr>
          </w:p>
          <w:p w14:paraId="31963427">
            <w:pPr>
              <w:spacing w:line="400" w:lineRule="exact"/>
              <w:jc w:val="left"/>
              <w:rPr>
                <w:rFonts w:hint="eastAsia" w:ascii="Times New Roman" w:hAnsi="Times New Roman" w:eastAsia="仿宋_GB2312"/>
                <w:kern w:val="0"/>
                <w:sz w:val="28"/>
                <w:szCs w:val="28"/>
              </w:rPr>
            </w:pPr>
            <w:r>
              <w:rPr>
                <w:rFonts w:ascii="Times New Roman" w:hAnsi="Times New Roman" w:eastAsia="仿宋_GB2312"/>
                <w:kern w:val="0"/>
                <w:sz w:val="28"/>
                <w:szCs w:val="28"/>
              </w:rPr>
              <w:t>壳体溶出物要求</w:t>
            </w:r>
          </w:p>
        </w:tc>
        <w:tc>
          <w:tcPr>
            <w:tcW w:w="1666" w:type="dxa"/>
            <w:vAlign w:val="center"/>
          </w:tcPr>
          <w:p w14:paraId="2B8751C6">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溶出物试验溶液外观</w:t>
            </w:r>
          </w:p>
        </w:tc>
        <w:tc>
          <w:tcPr>
            <w:tcW w:w="1335" w:type="dxa"/>
            <w:vAlign w:val="center"/>
          </w:tcPr>
          <w:p w14:paraId="260A7901">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7629FFC4">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3B19A9FC">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08F5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5303D7EF">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925" w:type="dxa"/>
            <w:vMerge w:val="continue"/>
            <w:vAlign w:val="center"/>
          </w:tcPr>
          <w:p w14:paraId="74569361">
            <w:pPr>
              <w:spacing w:line="400" w:lineRule="exact"/>
              <w:jc w:val="left"/>
              <w:rPr>
                <w:rFonts w:ascii="Times New Roman" w:hAnsi="Times New Roman" w:eastAsia="仿宋_GB2312"/>
                <w:kern w:val="0"/>
                <w:sz w:val="28"/>
                <w:szCs w:val="28"/>
              </w:rPr>
            </w:pPr>
          </w:p>
        </w:tc>
        <w:tc>
          <w:tcPr>
            <w:tcW w:w="1666" w:type="dxa"/>
            <w:vAlign w:val="center"/>
          </w:tcPr>
          <w:p w14:paraId="6169EB93">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蒸发残渣</w:t>
            </w:r>
          </w:p>
        </w:tc>
        <w:tc>
          <w:tcPr>
            <w:tcW w:w="1335" w:type="dxa"/>
            <w:vAlign w:val="center"/>
          </w:tcPr>
          <w:p w14:paraId="6E4689D6">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3542062B">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4DEC8C6A">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29510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63B1CBA8">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925" w:type="dxa"/>
            <w:vMerge w:val="continue"/>
            <w:vAlign w:val="center"/>
          </w:tcPr>
          <w:p w14:paraId="6F1A38BD">
            <w:pPr>
              <w:spacing w:line="400" w:lineRule="exact"/>
              <w:jc w:val="left"/>
              <w:rPr>
                <w:rFonts w:ascii="Times New Roman" w:hAnsi="Times New Roman" w:eastAsia="仿宋_GB2312"/>
                <w:kern w:val="0"/>
                <w:sz w:val="28"/>
                <w:szCs w:val="28"/>
              </w:rPr>
            </w:pPr>
          </w:p>
        </w:tc>
        <w:tc>
          <w:tcPr>
            <w:tcW w:w="1666" w:type="dxa"/>
            <w:vAlign w:val="center"/>
          </w:tcPr>
          <w:p w14:paraId="4744D7E0">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酸碱度</w:t>
            </w:r>
          </w:p>
        </w:tc>
        <w:tc>
          <w:tcPr>
            <w:tcW w:w="1335" w:type="dxa"/>
            <w:vAlign w:val="center"/>
          </w:tcPr>
          <w:p w14:paraId="25461CFC">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3FE12222">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6A0F5251">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0E3F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0FC10959">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925" w:type="dxa"/>
            <w:vMerge w:val="continue"/>
            <w:vAlign w:val="center"/>
          </w:tcPr>
          <w:p w14:paraId="48BED8D2">
            <w:pPr>
              <w:spacing w:line="400" w:lineRule="exact"/>
              <w:jc w:val="left"/>
              <w:rPr>
                <w:rFonts w:ascii="Times New Roman" w:hAnsi="Times New Roman" w:eastAsia="仿宋_GB2312"/>
                <w:kern w:val="0"/>
                <w:sz w:val="28"/>
                <w:szCs w:val="28"/>
              </w:rPr>
            </w:pPr>
          </w:p>
        </w:tc>
        <w:tc>
          <w:tcPr>
            <w:tcW w:w="1666" w:type="dxa"/>
            <w:vAlign w:val="center"/>
          </w:tcPr>
          <w:p w14:paraId="727567DB">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催化剂残留</w:t>
            </w:r>
          </w:p>
        </w:tc>
        <w:tc>
          <w:tcPr>
            <w:tcW w:w="1335" w:type="dxa"/>
            <w:vAlign w:val="center"/>
          </w:tcPr>
          <w:p w14:paraId="7060D98A">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7CD656CB">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588CAB9B">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6998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572" w:type="dxa"/>
            <w:vAlign w:val="center"/>
          </w:tcPr>
          <w:p w14:paraId="4B47B4AA">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925" w:type="dxa"/>
            <w:vMerge w:val="continue"/>
            <w:vAlign w:val="center"/>
          </w:tcPr>
          <w:p w14:paraId="7C3C0CB8">
            <w:pPr>
              <w:spacing w:line="400" w:lineRule="exact"/>
              <w:jc w:val="left"/>
              <w:rPr>
                <w:rFonts w:ascii="Times New Roman" w:hAnsi="Times New Roman" w:eastAsia="仿宋_GB2312"/>
                <w:kern w:val="0"/>
                <w:sz w:val="28"/>
                <w:szCs w:val="28"/>
              </w:rPr>
            </w:pPr>
          </w:p>
        </w:tc>
        <w:tc>
          <w:tcPr>
            <w:tcW w:w="1666" w:type="dxa"/>
            <w:vAlign w:val="center"/>
          </w:tcPr>
          <w:p w14:paraId="6772AA23">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还原物质</w:t>
            </w:r>
          </w:p>
          <w:p w14:paraId="44491A33">
            <w:pPr>
              <w:spacing w:line="400" w:lineRule="exact"/>
              <w:jc w:val="left"/>
              <w:rPr>
                <w:rFonts w:ascii="Times New Roman" w:hAnsi="Times New Roman" w:eastAsia="仿宋_GB2312"/>
                <w:kern w:val="0"/>
                <w:sz w:val="28"/>
                <w:szCs w:val="28"/>
              </w:rPr>
            </w:pPr>
            <w:r>
              <w:rPr>
                <w:rFonts w:ascii="Times New Roman" w:hAnsi="Times New Roman" w:eastAsia="仿宋_GB2312"/>
                <w:sz w:val="28"/>
                <w:szCs w:val="28"/>
              </w:rPr>
              <w:t>易氧化物</w:t>
            </w:r>
          </w:p>
        </w:tc>
        <w:tc>
          <w:tcPr>
            <w:tcW w:w="1335" w:type="dxa"/>
            <w:vAlign w:val="center"/>
          </w:tcPr>
          <w:p w14:paraId="1E129901">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6DCD8E72">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5ED15B0A">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74402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572" w:type="dxa"/>
            <w:vAlign w:val="center"/>
          </w:tcPr>
          <w:p w14:paraId="1603B9CB">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925" w:type="dxa"/>
            <w:vMerge w:val="continue"/>
            <w:vAlign w:val="center"/>
          </w:tcPr>
          <w:p w14:paraId="6E7B820D">
            <w:pPr>
              <w:spacing w:line="400" w:lineRule="exact"/>
              <w:jc w:val="left"/>
              <w:rPr>
                <w:rFonts w:ascii="Times New Roman" w:hAnsi="Times New Roman" w:eastAsia="仿宋_GB2312"/>
                <w:kern w:val="0"/>
                <w:sz w:val="28"/>
                <w:szCs w:val="28"/>
              </w:rPr>
            </w:pPr>
          </w:p>
        </w:tc>
        <w:tc>
          <w:tcPr>
            <w:tcW w:w="1666" w:type="dxa"/>
            <w:vAlign w:val="center"/>
          </w:tcPr>
          <w:p w14:paraId="32130AAB">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紫外吸收</w:t>
            </w:r>
          </w:p>
        </w:tc>
        <w:tc>
          <w:tcPr>
            <w:tcW w:w="1335" w:type="dxa"/>
            <w:vAlign w:val="center"/>
          </w:tcPr>
          <w:p w14:paraId="18B740AA">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529D437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798D6A2E">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不适用于配方中含芳香族取代基的硅橡胶外科植入物，比如乳房植入体所用硅橡胶。但建议对该类产品应进行芳香族取代物溶出性能的安全性评价</w:t>
            </w:r>
          </w:p>
        </w:tc>
      </w:tr>
      <w:tr w14:paraId="522F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590CA45F">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925" w:type="dxa"/>
            <w:vMerge w:val="continue"/>
            <w:vAlign w:val="center"/>
          </w:tcPr>
          <w:p w14:paraId="1A5CECB9">
            <w:pPr>
              <w:spacing w:line="400" w:lineRule="exact"/>
              <w:jc w:val="left"/>
              <w:rPr>
                <w:rFonts w:ascii="Times New Roman" w:hAnsi="Times New Roman" w:eastAsia="仿宋_GB2312"/>
                <w:kern w:val="0"/>
                <w:sz w:val="28"/>
                <w:szCs w:val="28"/>
              </w:rPr>
            </w:pPr>
          </w:p>
        </w:tc>
        <w:tc>
          <w:tcPr>
            <w:tcW w:w="1666" w:type="dxa"/>
            <w:vAlign w:val="center"/>
          </w:tcPr>
          <w:p w14:paraId="01281EAE">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重金属总量</w:t>
            </w:r>
          </w:p>
        </w:tc>
        <w:tc>
          <w:tcPr>
            <w:tcW w:w="1335" w:type="dxa"/>
            <w:vAlign w:val="center"/>
          </w:tcPr>
          <w:p w14:paraId="15140F0E">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107EE895">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638DDCE5">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2B28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vAlign w:val="center"/>
          </w:tcPr>
          <w:p w14:paraId="14C66CED">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385916F5">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硅凝胶红外光谱</w:t>
            </w:r>
          </w:p>
        </w:tc>
        <w:tc>
          <w:tcPr>
            <w:tcW w:w="1335" w:type="dxa"/>
            <w:vAlign w:val="center"/>
          </w:tcPr>
          <w:p w14:paraId="210F908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vAlign w:val="center"/>
          </w:tcPr>
          <w:p w14:paraId="621C0D0C">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5FBCC335">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2E15B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572" w:type="dxa"/>
            <w:vAlign w:val="center"/>
          </w:tcPr>
          <w:p w14:paraId="0873A714">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17CDFBBA">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硅凝胶重金属及微量元素</w:t>
            </w:r>
          </w:p>
        </w:tc>
        <w:tc>
          <w:tcPr>
            <w:tcW w:w="1335" w:type="dxa"/>
            <w:vAlign w:val="center"/>
          </w:tcPr>
          <w:p w14:paraId="2CB33AAB">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08E57400">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984" w:type="dxa"/>
            <w:vAlign w:val="center"/>
          </w:tcPr>
          <w:p w14:paraId="340ECCDC">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至少包括以下微量元素：铅Pb、镉Cd、砷As、铬Cr、铁Fe、铂Pt、锡Sn、锌Zn、锑Sb、镍Ni、铜Cu、汞(Hg)、钒(V)、钼(Mo)、硒(Se)、钴(Co)、钡(Ba)</w:t>
            </w:r>
          </w:p>
        </w:tc>
      </w:tr>
      <w:tr w14:paraId="01C5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572" w:type="dxa"/>
            <w:vAlign w:val="center"/>
          </w:tcPr>
          <w:p w14:paraId="77C696A5">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6693BAE9">
            <w:pPr>
              <w:spacing w:line="400" w:lineRule="exact"/>
              <w:jc w:val="left"/>
              <w:rPr>
                <w:rFonts w:ascii="Times New Roman" w:hAnsi="Times New Roman" w:eastAsia="仿宋_GB2312"/>
                <w:kern w:val="0"/>
                <w:sz w:val="28"/>
                <w:szCs w:val="28"/>
              </w:rPr>
            </w:pPr>
            <w:bookmarkStart w:id="15" w:name="_Hlk104644828"/>
            <w:r>
              <w:rPr>
                <w:rFonts w:ascii="Times New Roman" w:hAnsi="Times New Roman" w:eastAsia="仿宋_GB2312"/>
                <w:kern w:val="0"/>
                <w:sz w:val="28"/>
                <w:szCs w:val="28"/>
              </w:rPr>
              <w:t>硅橡胶壳体及硅凝胶填充物的浸提试验</w:t>
            </w:r>
            <w:bookmarkEnd w:id="15"/>
          </w:p>
        </w:tc>
        <w:tc>
          <w:tcPr>
            <w:tcW w:w="1335" w:type="dxa"/>
            <w:vAlign w:val="center"/>
          </w:tcPr>
          <w:p w14:paraId="4A24EB69">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7F904F3D">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Merge w:val="restart"/>
            <w:vAlign w:val="center"/>
          </w:tcPr>
          <w:p w14:paraId="7FCE8290">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典型残留低分子量寡聚物（如D4、D5）列入技术要求中</w:t>
            </w:r>
          </w:p>
        </w:tc>
      </w:tr>
      <w:tr w14:paraId="1B6D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572" w:type="dxa"/>
            <w:vAlign w:val="center"/>
          </w:tcPr>
          <w:p w14:paraId="4555D3E9">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36C74CF6">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硅橡胶壳体及硅凝胶填充物的挥发性组分</w:t>
            </w:r>
          </w:p>
        </w:tc>
        <w:tc>
          <w:tcPr>
            <w:tcW w:w="1335" w:type="dxa"/>
            <w:vAlign w:val="center"/>
          </w:tcPr>
          <w:p w14:paraId="70E30F45">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42AF54E0">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Merge w:val="continue"/>
            <w:vAlign w:val="center"/>
          </w:tcPr>
          <w:p w14:paraId="78C67203">
            <w:pPr>
              <w:spacing w:line="400" w:lineRule="exact"/>
              <w:rPr>
                <w:rFonts w:ascii="Times New Roman" w:hAnsi="Times New Roman" w:eastAsia="仿宋_GB2312"/>
                <w:kern w:val="0"/>
                <w:sz w:val="28"/>
                <w:szCs w:val="28"/>
              </w:rPr>
            </w:pPr>
          </w:p>
        </w:tc>
      </w:tr>
      <w:tr w14:paraId="4E242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572" w:type="dxa"/>
            <w:tcBorders>
              <w:top w:val="nil"/>
              <w:left w:val="single" w:color="auto" w:sz="4" w:space="0"/>
              <w:bottom w:val="single" w:color="auto" w:sz="4" w:space="0"/>
              <w:right w:val="single" w:color="auto" w:sz="4" w:space="0"/>
            </w:tcBorders>
            <w:vAlign w:val="center"/>
          </w:tcPr>
          <w:p w14:paraId="23712E95">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tcBorders>
              <w:top w:val="nil"/>
              <w:left w:val="single" w:color="auto" w:sz="4" w:space="0"/>
              <w:bottom w:val="single" w:color="auto" w:sz="4" w:space="0"/>
              <w:right w:val="single" w:color="auto" w:sz="4" w:space="0"/>
            </w:tcBorders>
            <w:vAlign w:val="center"/>
          </w:tcPr>
          <w:p w14:paraId="045CE8BD">
            <w:pPr>
              <w:spacing w:line="400" w:lineRule="exact"/>
              <w:jc w:val="left"/>
              <w:rPr>
                <w:rFonts w:ascii="Times New Roman" w:hAnsi="Times New Roman" w:eastAsia="仿宋_GB2312"/>
                <w:kern w:val="0"/>
                <w:sz w:val="28"/>
                <w:szCs w:val="28"/>
              </w:rPr>
            </w:pPr>
            <w:bookmarkStart w:id="16" w:name="_Hlk104644930"/>
            <w:r>
              <w:rPr>
                <w:rFonts w:ascii="Times New Roman" w:hAnsi="Times New Roman" w:eastAsia="仿宋_GB2312"/>
                <w:kern w:val="0"/>
                <w:sz w:val="28"/>
                <w:szCs w:val="28"/>
              </w:rPr>
              <w:t>硅橡胶及硅凝胶</w:t>
            </w:r>
            <w:bookmarkEnd w:id="16"/>
            <w:r>
              <w:rPr>
                <w:rFonts w:ascii="Times New Roman" w:hAnsi="Times New Roman" w:eastAsia="仿宋_GB2312"/>
                <w:kern w:val="0"/>
                <w:sz w:val="28"/>
                <w:szCs w:val="28"/>
              </w:rPr>
              <w:t>的金属催化剂分析</w:t>
            </w:r>
          </w:p>
        </w:tc>
        <w:tc>
          <w:tcPr>
            <w:tcW w:w="1335" w:type="dxa"/>
            <w:tcBorders>
              <w:top w:val="nil"/>
              <w:left w:val="single" w:color="auto" w:sz="4" w:space="0"/>
              <w:bottom w:val="single" w:color="auto" w:sz="4" w:space="0"/>
              <w:right w:val="single" w:color="auto" w:sz="4" w:space="0"/>
            </w:tcBorders>
            <w:vAlign w:val="center"/>
          </w:tcPr>
          <w:p w14:paraId="6427A3B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tcBorders>
              <w:top w:val="nil"/>
              <w:left w:val="single" w:color="auto" w:sz="4" w:space="0"/>
              <w:bottom w:val="single" w:color="auto" w:sz="4" w:space="0"/>
              <w:right w:val="single" w:color="auto" w:sz="4" w:space="0"/>
            </w:tcBorders>
            <w:vAlign w:val="center"/>
          </w:tcPr>
          <w:p w14:paraId="6B4B4718">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tcBorders>
              <w:top w:val="nil"/>
              <w:left w:val="single" w:color="auto" w:sz="4" w:space="0"/>
              <w:bottom w:val="single" w:color="auto" w:sz="4" w:space="0"/>
              <w:right w:val="single" w:color="auto" w:sz="4" w:space="0"/>
            </w:tcBorders>
            <w:vAlign w:val="center"/>
          </w:tcPr>
          <w:p w14:paraId="0EB48D55">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2CDA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572" w:type="dxa"/>
            <w:tcBorders>
              <w:top w:val="single" w:color="auto" w:sz="4" w:space="0"/>
            </w:tcBorders>
            <w:vAlign w:val="center"/>
          </w:tcPr>
          <w:p w14:paraId="6338DF76">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tcBorders>
              <w:top w:val="single" w:color="auto" w:sz="4" w:space="0"/>
            </w:tcBorders>
            <w:vAlign w:val="center"/>
          </w:tcPr>
          <w:p w14:paraId="0DAFCDA6">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残留溶剂</w:t>
            </w:r>
          </w:p>
        </w:tc>
        <w:tc>
          <w:tcPr>
            <w:tcW w:w="1335" w:type="dxa"/>
            <w:tcBorders>
              <w:top w:val="single" w:color="auto" w:sz="4" w:space="0"/>
            </w:tcBorders>
            <w:vAlign w:val="center"/>
          </w:tcPr>
          <w:p w14:paraId="0285415A">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tcBorders>
              <w:top w:val="single" w:color="auto" w:sz="4" w:space="0"/>
            </w:tcBorders>
            <w:vAlign w:val="center"/>
          </w:tcPr>
          <w:p w14:paraId="7560F918">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tcBorders>
              <w:top w:val="single" w:color="auto" w:sz="4" w:space="0"/>
            </w:tcBorders>
            <w:vAlign w:val="center"/>
          </w:tcPr>
          <w:p w14:paraId="7D13DF76">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对硅橡胶、硅凝胶原材料及生产过程中可能引入的溶剂残留进行考虑</w:t>
            </w:r>
          </w:p>
        </w:tc>
      </w:tr>
      <w:tr w14:paraId="66E1F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572" w:type="dxa"/>
            <w:vAlign w:val="center"/>
          </w:tcPr>
          <w:p w14:paraId="6B1AC4F6">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0EC8E694">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硅橡胶及硅凝胶的硫化程度</w:t>
            </w:r>
          </w:p>
        </w:tc>
        <w:tc>
          <w:tcPr>
            <w:tcW w:w="1335" w:type="dxa"/>
            <w:vAlign w:val="center"/>
          </w:tcPr>
          <w:p w14:paraId="03FD9EB7">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vAlign w:val="center"/>
          </w:tcPr>
          <w:p w14:paraId="7412AE9B">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7803473D">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024E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2" w:type="dxa"/>
            <w:vAlign w:val="center"/>
          </w:tcPr>
          <w:p w14:paraId="1A59D6AB">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3B9AA9F0">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生理盐水填充物要求</w:t>
            </w:r>
          </w:p>
        </w:tc>
        <w:tc>
          <w:tcPr>
            <w:tcW w:w="1335" w:type="dxa"/>
            <w:vAlign w:val="center"/>
          </w:tcPr>
          <w:p w14:paraId="2ABF27F1">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1FA1F9FD">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3E8373D7">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适用于生理盐水作为填充物，参考中国药典</w:t>
            </w:r>
          </w:p>
        </w:tc>
      </w:tr>
      <w:tr w14:paraId="7B6AF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3" w:hRule="atLeast"/>
          <w:jc w:val="center"/>
        </w:trPr>
        <w:tc>
          <w:tcPr>
            <w:tcW w:w="572" w:type="dxa"/>
            <w:vAlign w:val="center"/>
          </w:tcPr>
          <w:p w14:paraId="54DEC9E7">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44F3C9E5">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其它填充物要求：填充材料与壳体材料之间的相容性</w:t>
            </w:r>
          </w:p>
        </w:tc>
        <w:tc>
          <w:tcPr>
            <w:tcW w:w="1335" w:type="dxa"/>
            <w:vAlign w:val="center"/>
          </w:tcPr>
          <w:p w14:paraId="3EDAED10">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vAlign w:val="center"/>
          </w:tcPr>
          <w:p w14:paraId="3B13A8F4">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0B9E7A33">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适用于非硅凝胶或生理盐水的其他填充物</w:t>
            </w:r>
          </w:p>
        </w:tc>
      </w:tr>
      <w:tr w14:paraId="6BEF1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572" w:type="dxa"/>
            <w:vAlign w:val="center"/>
          </w:tcPr>
          <w:p w14:paraId="3A67CA1E">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49090FC5">
            <w:pPr>
              <w:spacing w:line="400" w:lineRule="exact"/>
              <w:jc w:val="left"/>
              <w:rPr>
                <w:rFonts w:ascii="Times New Roman" w:hAnsi="Times New Roman" w:eastAsia="仿宋_GB2312"/>
                <w:kern w:val="0"/>
                <w:sz w:val="28"/>
                <w:szCs w:val="28"/>
              </w:rPr>
            </w:pPr>
            <w:r>
              <w:rPr>
                <w:rFonts w:ascii="Times New Roman" w:hAnsi="Times New Roman" w:eastAsia="仿宋_GB2312"/>
                <w:sz w:val="28"/>
                <w:szCs w:val="28"/>
              </w:rPr>
              <w:t>有害小分子物质残留量</w:t>
            </w:r>
          </w:p>
        </w:tc>
        <w:tc>
          <w:tcPr>
            <w:tcW w:w="1335" w:type="dxa"/>
            <w:vAlign w:val="center"/>
          </w:tcPr>
          <w:p w14:paraId="13C6A165">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74090412">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4FDED047">
            <w:pPr>
              <w:spacing w:line="400" w:lineRule="exact"/>
              <w:rPr>
                <w:rFonts w:ascii="Times New Roman" w:hAnsi="Times New Roman" w:eastAsia="仿宋_GB2312"/>
                <w:kern w:val="0"/>
                <w:sz w:val="28"/>
                <w:szCs w:val="28"/>
              </w:rPr>
            </w:pPr>
            <w:r>
              <w:rPr>
                <w:rFonts w:ascii="Times New Roman" w:hAnsi="Times New Roman" w:eastAsia="仿宋_GB2312"/>
                <w:sz w:val="28"/>
                <w:szCs w:val="28"/>
              </w:rPr>
              <w:t>结合产品生产工艺、人体可耐受水平综合考虑</w:t>
            </w:r>
          </w:p>
        </w:tc>
      </w:tr>
      <w:tr w14:paraId="0DD4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368" w:type="dxa"/>
            <w:gridSpan w:val="6"/>
            <w:shd w:val="clear" w:color="auto" w:fill="EDEDED"/>
            <w:vAlign w:val="center"/>
          </w:tcPr>
          <w:p w14:paraId="6D65495D">
            <w:pPr>
              <w:spacing w:line="400" w:lineRule="exact"/>
              <w:jc w:val="left"/>
              <w:rPr>
                <w:rFonts w:ascii="Times New Roman" w:hAnsi="Times New Roman" w:eastAsia="仿宋_GB2312"/>
                <w:b/>
                <w:kern w:val="0"/>
                <w:sz w:val="28"/>
                <w:szCs w:val="28"/>
              </w:rPr>
            </w:pPr>
            <w:r>
              <w:rPr>
                <w:rFonts w:ascii="Times New Roman" w:hAnsi="Times New Roman" w:eastAsia="仿宋_GB2312"/>
                <w:b/>
                <w:kern w:val="0"/>
                <w:sz w:val="28"/>
                <w:szCs w:val="28"/>
              </w:rPr>
              <w:t>其他要求</w:t>
            </w:r>
          </w:p>
        </w:tc>
      </w:tr>
      <w:tr w14:paraId="6BAD9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2" w:type="dxa"/>
            <w:vAlign w:val="center"/>
          </w:tcPr>
          <w:p w14:paraId="4232DA25">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47E58BF4">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老化性能要求</w:t>
            </w:r>
          </w:p>
        </w:tc>
        <w:tc>
          <w:tcPr>
            <w:tcW w:w="1335" w:type="dxa"/>
            <w:vAlign w:val="center"/>
          </w:tcPr>
          <w:p w14:paraId="3CC8CCB4">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否</w:t>
            </w:r>
          </w:p>
        </w:tc>
        <w:tc>
          <w:tcPr>
            <w:tcW w:w="1886" w:type="dxa"/>
            <w:vAlign w:val="center"/>
          </w:tcPr>
          <w:p w14:paraId="53313F9F">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28C0759C">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w:t>
            </w:r>
          </w:p>
        </w:tc>
      </w:tr>
      <w:tr w14:paraId="5F39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2" w:type="dxa"/>
            <w:vAlign w:val="center"/>
          </w:tcPr>
          <w:p w14:paraId="433E6093">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07041E26">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附件使用性能</w:t>
            </w:r>
          </w:p>
        </w:tc>
        <w:tc>
          <w:tcPr>
            <w:tcW w:w="1335" w:type="dxa"/>
            <w:vAlign w:val="center"/>
          </w:tcPr>
          <w:p w14:paraId="47F19CD1">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3BEDD9BE">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Align w:val="center"/>
          </w:tcPr>
          <w:p w14:paraId="20D24730">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适用于带联接附件的植入物</w:t>
            </w:r>
          </w:p>
        </w:tc>
      </w:tr>
      <w:tr w14:paraId="1BC33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72" w:type="dxa"/>
            <w:vAlign w:val="center"/>
          </w:tcPr>
          <w:p w14:paraId="32CA5C9A">
            <w:pPr>
              <w:pStyle w:val="39"/>
              <w:numPr>
                <w:ilvl w:val="0"/>
                <w:numId w:val="2"/>
              </w:numPr>
              <w:spacing w:line="400" w:lineRule="exact"/>
              <w:ind w:firstLineChars="0"/>
              <w:jc w:val="center"/>
              <w:rPr>
                <w:rFonts w:ascii="Times New Roman" w:hAnsi="Times New Roman" w:eastAsia="仿宋_GB2312"/>
                <w:kern w:val="0"/>
                <w:sz w:val="28"/>
                <w:szCs w:val="28"/>
              </w:rPr>
            </w:pPr>
          </w:p>
        </w:tc>
        <w:tc>
          <w:tcPr>
            <w:tcW w:w="2591" w:type="dxa"/>
            <w:gridSpan w:val="2"/>
            <w:vAlign w:val="center"/>
          </w:tcPr>
          <w:p w14:paraId="07467FFB">
            <w:pPr>
              <w:spacing w:line="400"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微应答器的识别功能</w:t>
            </w:r>
          </w:p>
        </w:tc>
        <w:tc>
          <w:tcPr>
            <w:tcW w:w="1335" w:type="dxa"/>
            <w:vAlign w:val="center"/>
          </w:tcPr>
          <w:p w14:paraId="54D64542">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886" w:type="dxa"/>
            <w:vAlign w:val="center"/>
          </w:tcPr>
          <w:p w14:paraId="7E8DC876">
            <w:pPr>
              <w:spacing w:line="40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是</w:t>
            </w:r>
          </w:p>
        </w:tc>
        <w:tc>
          <w:tcPr>
            <w:tcW w:w="1984" w:type="dxa"/>
            <w:vMerge w:val="restart"/>
            <w:vAlign w:val="center"/>
          </w:tcPr>
          <w:p w14:paraId="661B04C1">
            <w:pPr>
              <w:spacing w:line="400" w:lineRule="exact"/>
              <w:rPr>
                <w:rFonts w:ascii="Times New Roman" w:hAnsi="Times New Roman" w:eastAsia="仿宋_GB2312"/>
                <w:kern w:val="0"/>
                <w:sz w:val="28"/>
                <w:szCs w:val="28"/>
              </w:rPr>
            </w:pPr>
            <w:r>
              <w:rPr>
                <w:rFonts w:ascii="Times New Roman" w:hAnsi="Times New Roman" w:eastAsia="仿宋_GB2312"/>
                <w:kern w:val="0"/>
                <w:sz w:val="28"/>
                <w:szCs w:val="28"/>
              </w:rPr>
              <w:t>适用于带有微应答器的植入物</w:t>
            </w:r>
          </w:p>
        </w:tc>
      </w:tr>
      <w:tr w14:paraId="377A4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572" w:type="dxa"/>
            <w:vAlign w:val="center"/>
          </w:tcPr>
          <w:p w14:paraId="28D9D234">
            <w:pPr>
              <w:pStyle w:val="39"/>
              <w:numPr>
                <w:ilvl w:val="0"/>
                <w:numId w:val="2"/>
              </w:numPr>
              <w:spacing w:line="520" w:lineRule="exact"/>
              <w:ind w:firstLineChars="0"/>
              <w:jc w:val="center"/>
              <w:rPr>
                <w:rFonts w:ascii="Times New Roman" w:hAnsi="Times New Roman" w:eastAsia="仿宋_GB2312"/>
                <w:kern w:val="0"/>
                <w:sz w:val="28"/>
                <w:szCs w:val="28"/>
              </w:rPr>
            </w:pPr>
          </w:p>
        </w:tc>
        <w:tc>
          <w:tcPr>
            <w:tcW w:w="2591" w:type="dxa"/>
            <w:gridSpan w:val="2"/>
            <w:vAlign w:val="center"/>
          </w:tcPr>
          <w:p w14:paraId="016CAEFD">
            <w:pPr>
              <w:spacing w:line="52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微应答器磁共振兼容性</w:t>
            </w:r>
          </w:p>
        </w:tc>
        <w:tc>
          <w:tcPr>
            <w:tcW w:w="1335" w:type="dxa"/>
            <w:vAlign w:val="center"/>
          </w:tcPr>
          <w:p w14:paraId="2E3454F9">
            <w:pPr>
              <w:spacing w:line="52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否</w:t>
            </w:r>
          </w:p>
        </w:tc>
        <w:tc>
          <w:tcPr>
            <w:tcW w:w="1886" w:type="dxa"/>
            <w:vAlign w:val="center"/>
          </w:tcPr>
          <w:p w14:paraId="1FB5D0B3">
            <w:pPr>
              <w:spacing w:line="520" w:lineRule="exact"/>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是</w:t>
            </w:r>
          </w:p>
        </w:tc>
        <w:tc>
          <w:tcPr>
            <w:tcW w:w="1984" w:type="dxa"/>
            <w:vMerge w:val="continue"/>
            <w:vAlign w:val="center"/>
          </w:tcPr>
          <w:p w14:paraId="16415928">
            <w:pPr>
              <w:spacing w:line="520" w:lineRule="exact"/>
              <w:jc w:val="center"/>
              <w:rPr>
                <w:rFonts w:ascii="Times New Roman" w:hAnsi="Times New Roman" w:eastAsia="仿宋_GB2312"/>
                <w:kern w:val="0"/>
                <w:sz w:val="28"/>
                <w:szCs w:val="28"/>
              </w:rPr>
            </w:pPr>
          </w:p>
        </w:tc>
      </w:tr>
    </w:tbl>
    <w:p w14:paraId="363DE97B">
      <w:pPr>
        <w:spacing w:line="520" w:lineRule="exact"/>
        <w:rPr>
          <w:rFonts w:ascii="Times New Roman" w:hAnsi="Times New Roman"/>
        </w:rPr>
      </w:pPr>
    </w:p>
    <w:sectPr>
      <w:footerReference r:id="rId3" w:type="default"/>
      <w:footerReference r:id="rId4" w:type="even"/>
      <w:pgSz w:w="11906" w:h="16838"/>
      <w:pgMar w:top="1440" w:right="1800" w:bottom="1440" w:left="1800" w:header="851" w:footer="1020"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4ADA">
    <w:pPr>
      <w:pStyle w:val="8"/>
    </w:pPr>
    <w:r>
      <mc:AlternateContent>
        <mc:Choice Requires="wps">
          <w:drawing>
            <wp:anchor distT="0" distB="0" distL="114300" distR="114300" simplePos="0" relativeHeight="251659264" behindDoc="0" locked="0" layoutInCell="1" allowOverlap="1">
              <wp:simplePos x="0" y="0"/>
              <wp:positionH relativeFrom="margin">
                <wp:posOffset>4719955</wp:posOffset>
              </wp:positionH>
              <wp:positionV relativeFrom="paragraph">
                <wp:posOffset>-43815</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4852F59A">
                          <w:pPr>
                            <w:pStyle w:val="8"/>
                            <w:jc w:val="center"/>
                            <w:rPr>
                              <w:rFonts w:ascii="Times New Roman" w:hAnsi="Times New Roman" w:eastAsia="等线 Light"/>
                              <w:sz w:val="28"/>
                              <w:szCs w:val="28"/>
                            </w:rPr>
                          </w:pPr>
                          <w:r>
                            <w:rPr>
                              <w:rFonts w:ascii="Times New Roman" w:hAnsi="Times New Roman" w:eastAsia="等线"/>
                              <w:sz w:val="28"/>
                              <w:szCs w:val="28"/>
                            </w:rPr>
                            <w:t xml:space="preserve">— </w:t>
                          </w:r>
                          <w:r>
                            <w:rPr>
                              <w:rFonts w:ascii="Times New Roman" w:hAnsi="Times New Roman" w:eastAsia="等线"/>
                              <w:sz w:val="28"/>
                              <w:szCs w:val="28"/>
                            </w:rPr>
                            <w:fldChar w:fldCharType="begin"/>
                          </w:r>
                          <w:r>
                            <w:rPr>
                              <w:rFonts w:ascii="Times New Roman" w:hAnsi="Times New Roman"/>
                              <w:sz w:val="28"/>
                              <w:szCs w:val="28"/>
                            </w:rPr>
                            <w:instrText xml:space="preserve">PAGE    \* MERGEFORMAT</w:instrText>
                          </w:r>
                          <w:r>
                            <w:rPr>
                              <w:rFonts w:ascii="Times New Roman" w:hAnsi="Times New Roman" w:eastAsia="等线"/>
                              <w:sz w:val="28"/>
                              <w:szCs w:val="28"/>
                            </w:rPr>
                            <w:fldChar w:fldCharType="separate"/>
                          </w:r>
                          <w:r>
                            <w:rPr>
                              <w:rFonts w:ascii="Times New Roman" w:hAnsi="Times New Roman" w:eastAsia="等线 Light"/>
                              <w:sz w:val="28"/>
                              <w:szCs w:val="28"/>
                              <w:lang w:val="zh-CN"/>
                            </w:rPr>
                            <w:t>19</w:t>
                          </w:r>
                          <w:r>
                            <w:rPr>
                              <w:rFonts w:ascii="Times New Roman" w:hAnsi="Times New Roman" w:eastAsia="等线 Light"/>
                              <w:sz w:val="28"/>
                              <w:szCs w:val="28"/>
                            </w:rPr>
                            <w:fldChar w:fldCharType="end"/>
                          </w:r>
                          <w:r>
                            <w:rPr>
                              <w:rFonts w:ascii="Times New Roman" w:hAnsi="Times New Roman" w:eastAsia="等线 Light"/>
                              <w:sz w:val="28"/>
                              <w:szCs w:val="28"/>
                              <w:lang w:val="zh-CN"/>
                            </w:rPr>
                            <w:t xml:space="preserve"> —</w:t>
                          </w:r>
                        </w:p>
                        <w:p w14:paraId="2583258C">
                          <w:pPr>
                            <w:pStyle w:val="8"/>
                            <w:jc w:val="right"/>
                            <w:rPr>
                              <w:rFonts w:ascii="仿宋" w:hAnsi="仿宋" w:eastAsia="仿宋" w:cs="仿宋"/>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371.65pt;margin-top:-3.45pt;height:18.15pt;width:42.05pt;mso-position-horizontal-relative:margin;mso-wrap-style:none;z-index:251659264;mso-width-relative:page;mso-height-relative:page;" filled="f" stroked="f" coordsize="21600,21600" o:gfxdata="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6dYEvWAAAACQEAAA8AAAAAAAAAAQAgAAAAIgAAAGRy&#10;cy9kb3ducmV2LnhtbFBLAQIUABQAAAAIAIdO4kA1VATlBwIAAAIEAAAOAAAAAAAAAAEAIAAAACUB&#10;AABkcnMvZTJvRG9jLnhtbFBLBQYAAAAABgAGAFkBAACeBQAAAAA=&#10;">
              <v:fill on="f" focussize="0,0"/>
              <v:stroke on="f"/>
              <v:imagedata o:title=""/>
              <o:lock v:ext="edit" aspectratio="f"/>
              <v:textbox inset="0mm,0mm,0mm,0mm" style="mso-fit-shape-to-text:t;">
                <w:txbxContent>
                  <w:p w14:paraId="4852F59A">
                    <w:pPr>
                      <w:pStyle w:val="8"/>
                      <w:jc w:val="center"/>
                      <w:rPr>
                        <w:rFonts w:ascii="Times New Roman" w:hAnsi="Times New Roman" w:eastAsia="等线 Light"/>
                        <w:sz w:val="28"/>
                        <w:szCs w:val="28"/>
                      </w:rPr>
                    </w:pPr>
                    <w:r>
                      <w:rPr>
                        <w:rFonts w:ascii="Times New Roman" w:hAnsi="Times New Roman" w:eastAsia="等线"/>
                        <w:sz w:val="28"/>
                        <w:szCs w:val="28"/>
                      </w:rPr>
                      <w:t xml:space="preserve">— </w:t>
                    </w:r>
                    <w:r>
                      <w:rPr>
                        <w:rFonts w:ascii="Times New Roman" w:hAnsi="Times New Roman" w:eastAsia="等线"/>
                        <w:sz w:val="28"/>
                        <w:szCs w:val="28"/>
                      </w:rPr>
                      <w:fldChar w:fldCharType="begin"/>
                    </w:r>
                    <w:r>
                      <w:rPr>
                        <w:rFonts w:ascii="Times New Roman" w:hAnsi="Times New Roman"/>
                        <w:sz w:val="28"/>
                        <w:szCs w:val="28"/>
                      </w:rPr>
                      <w:instrText xml:space="preserve">PAGE    \* MERGEFORMAT</w:instrText>
                    </w:r>
                    <w:r>
                      <w:rPr>
                        <w:rFonts w:ascii="Times New Roman" w:hAnsi="Times New Roman" w:eastAsia="等线"/>
                        <w:sz w:val="28"/>
                        <w:szCs w:val="28"/>
                      </w:rPr>
                      <w:fldChar w:fldCharType="separate"/>
                    </w:r>
                    <w:r>
                      <w:rPr>
                        <w:rFonts w:ascii="Times New Roman" w:hAnsi="Times New Roman" w:eastAsia="等线 Light"/>
                        <w:sz w:val="28"/>
                        <w:szCs w:val="28"/>
                        <w:lang w:val="zh-CN"/>
                      </w:rPr>
                      <w:t>19</w:t>
                    </w:r>
                    <w:r>
                      <w:rPr>
                        <w:rFonts w:ascii="Times New Roman" w:hAnsi="Times New Roman" w:eastAsia="等线 Light"/>
                        <w:sz w:val="28"/>
                        <w:szCs w:val="28"/>
                      </w:rPr>
                      <w:fldChar w:fldCharType="end"/>
                    </w:r>
                    <w:r>
                      <w:rPr>
                        <w:rFonts w:ascii="Times New Roman" w:hAnsi="Times New Roman" w:eastAsia="等线 Light"/>
                        <w:sz w:val="28"/>
                        <w:szCs w:val="28"/>
                        <w:lang w:val="zh-CN"/>
                      </w:rPr>
                      <w:t xml:space="preserve"> —</w:t>
                    </w:r>
                  </w:p>
                  <w:p w14:paraId="2583258C">
                    <w:pPr>
                      <w:pStyle w:val="8"/>
                      <w:jc w:val="right"/>
                      <w:rPr>
                        <w:rFonts w:ascii="仿宋" w:hAnsi="仿宋" w:eastAsia="仿宋" w:cs="仿宋"/>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035E">
    <w:pPr>
      <w:pStyle w:val="8"/>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5340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1A1E190D">
                          <w:pPr>
                            <w:pStyle w:val="8"/>
                            <w:jc w:val="right"/>
                            <w:rPr>
                              <w:rFonts w:ascii="Times New Roman" w:hAnsi="Times New Roman" w:eastAsia="等线 Light"/>
                              <w:sz w:val="28"/>
                              <w:szCs w:val="28"/>
                            </w:rPr>
                          </w:pPr>
                          <w:r>
                            <w:rPr>
                              <w:rFonts w:ascii="Times New Roman" w:hAnsi="Times New Roman" w:eastAsia="等线"/>
                              <w:sz w:val="28"/>
                              <w:szCs w:val="28"/>
                            </w:rPr>
                            <w:t xml:space="preserve">— </w:t>
                          </w:r>
                          <w:r>
                            <w:rPr>
                              <w:rFonts w:ascii="Times New Roman" w:hAnsi="Times New Roman" w:eastAsia="等线"/>
                              <w:sz w:val="28"/>
                              <w:szCs w:val="28"/>
                            </w:rPr>
                            <w:fldChar w:fldCharType="begin"/>
                          </w:r>
                          <w:r>
                            <w:rPr>
                              <w:rFonts w:ascii="Times New Roman" w:hAnsi="Times New Roman"/>
                              <w:sz w:val="28"/>
                              <w:szCs w:val="28"/>
                            </w:rPr>
                            <w:instrText xml:space="preserve">PAGE    \* MERGEFORMAT</w:instrText>
                          </w:r>
                          <w:r>
                            <w:rPr>
                              <w:rFonts w:ascii="Times New Roman" w:hAnsi="Times New Roman" w:eastAsia="等线"/>
                              <w:sz w:val="28"/>
                              <w:szCs w:val="28"/>
                            </w:rPr>
                            <w:fldChar w:fldCharType="separate"/>
                          </w:r>
                          <w:r>
                            <w:rPr>
                              <w:rFonts w:ascii="Times New Roman" w:hAnsi="Times New Roman" w:eastAsia="等线 Light"/>
                              <w:sz w:val="28"/>
                              <w:szCs w:val="28"/>
                              <w:lang w:val="zh-CN"/>
                            </w:rPr>
                            <w:t>18</w:t>
                          </w:r>
                          <w:r>
                            <w:rPr>
                              <w:rFonts w:ascii="Times New Roman" w:hAnsi="Times New Roman" w:eastAsia="等线 Light"/>
                              <w:sz w:val="28"/>
                              <w:szCs w:val="28"/>
                            </w:rPr>
                            <w:fldChar w:fldCharType="end"/>
                          </w:r>
                          <w:r>
                            <w:rPr>
                              <w:rFonts w:ascii="Times New Roman" w:hAnsi="Times New Roman" w:eastAsia="等线 Light"/>
                              <w:sz w:val="28"/>
                              <w:szCs w:val="28"/>
                              <w:lang w:val="zh-CN"/>
                            </w:rPr>
                            <w:t xml:space="preserve"> —</w:t>
                          </w:r>
                        </w:p>
                        <w:p w14:paraId="06E801E3">
                          <w:pPr>
                            <w:pStyle w:val="8"/>
                            <w:rPr>
                              <w:rFonts w:ascii="仿宋" w:hAnsi="仿宋" w:eastAsia="仿宋" w:cs="仿宋"/>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0pt;margin-top:0pt;height:18.15pt;width:42.05pt;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9i9AiCg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VfIZZ1YYavjp+7fTj1+n&#10;n1/ZLNrTOV9Q1p2jvNC/gp6GJkn17hbkZ88s3DTC7tQ1InSNEhXRm8aX2b2nA46PINvuLVRUR+wD&#10;JKC+RhO9IzcYoVNrjpfWqD4wSYeL+fN8vuBM0tVsni/yRaogivGxQx9eKzAsBiVH6nwCF4dbHyIZ&#10;UYwpsZaFjW7b1P3W/nVAifEkkY98B+ah3/ZnM7ZQHUkGwjBM9JUoaAC/cNbRIJXc0r/hrH1jyYg4&#10;c2OAY7AdA2ElPSx54GwIb8Iwm3uHetcQ7mj1NZm10UlIdHXgcGZJo5H0ncc4zt79fcr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9kx90QAAAAMBAAAPAAAAAAAAAAEAIAAAACIAAABkcnMv&#10;ZG93bnJldi54bWxQSwECFAAUAAAACACHTuJAvYvQIgoCAAACBAAADgAAAAAAAAABACAAAAAgAQAA&#10;ZHJzL2Uyb0RvYy54bWxQSwUGAAAAAAYABgBZAQAAnAUAAAAA&#10;">
              <v:fill on="f" focussize="0,0"/>
              <v:stroke on="f"/>
              <v:imagedata o:title=""/>
              <o:lock v:ext="edit" aspectratio="f"/>
              <v:textbox inset="0mm,0mm,0mm,0mm" style="mso-fit-shape-to-text:t;">
                <w:txbxContent>
                  <w:p w14:paraId="1A1E190D">
                    <w:pPr>
                      <w:pStyle w:val="8"/>
                      <w:jc w:val="right"/>
                      <w:rPr>
                        <w:rFonts w:ascii="Times New Roman" w:hAnsi="Times New Roman" w:eastAsia="等线 Light"/>
                        <w:sz w:val="28"/>
                        <w:szCs w:val="28"/>
                      </w:rPr>
                    </w:pPr>
                    <w:r>
                      <w:rPr>
                        <w:rFonts w:ascii="Times New Roman" w:hAnsi="Times New Roman" w:eastAsia="等线"/>
                        <w:sz w:val="28"/>
                        <w:szCs w:val="28"/>
                      </w:rPr>
                      <w:t xml:space="preserve">— </w:t>
                    </w:r>
                    <w:r>
                      <w:rPr>
                        <w:rFonts w:ascii="Times New Roman" w:hAnsi="Times New Roman" w:eastAsia="等线"/>
                        <w:sz w:val="28"/>
                        <w:szCs w:val="28"/>
                      </w:rPr>
                      <w:fldChar w:fldCharType="begin"/>
                    </w:r>
                    <w:r>
                      <w:rPr>
                        <w:rFonts w:ascii="Times New Roman" w:hAnsi="Times New Roman"/>
                        <w:sz w:val="28"/>
                        <w:szCs w:val="28"/>
                      </w:rPr>
                      <w:instrText xml:space="preserve">PAGE    \* MERGEFORMAT</w:instrText>
                    </w:r>
                    <w:r>
                      <w:rPr>
                        <w:rFonts w:ascii="Times New Roman" w:hAnsi="Times New Roman" w:eastAsia="等线"/>
                        <w:sz w:val="28"/>
                        <w:szCs w:val="28"/>
                      </w:rPr>
                      <w:fldChar w:fldCharType="separate"/>
                    </w:r>
                    <w:r>
                      <w:rPr>
                        <w:rFonts w:ascii="Times New Roman" w:hAnsi="Times New Roman" w:eastAsia="等线 Light"/>
                        <w:sz w:val="28"/>
                        <w:szCs w:val="28"/>
                        <w:lang w:val="zh-CN"/>
                      </w:rPr>
                      <w:t>18</w:t>
                    </w:r>
                    <w:r>
                      <w:rPr>
                        <w:rFonts w:ascii="Times New Roman" w:hAnsi="Times New Roman" w:eastAsia="等线 Light"/>
                        <w:sz w:val="28"/>
                        <w:szCs w:val="28"/>
                      </w:rPr>
                      <w:fldChar w:fldCharType="end"/>
                    </w:r>
                    <w:r>
                      <w:rPr>
                        <w:rFonts w:ascii="Times New Roman" w:hAnsi="Times New Roman" w:eastAsia="等线 Light"/>
                        <w:sz w:val="28"/>
                        <w:szCs w:val="28"/>
                        <w:lang w:val="zh-CN"/>
                      </w:rPr>
                      <w:t xml:space="preserve"> —</w:t>
                    </w:r>
                  </w:p>
                  <w:p w14:paraId="06E801E3">
                    <w:pPr>
                      <w:pStyle w:val="8"/>
                      <w:rPr>
                        <w:rFonts w:ascii="仿宋" w:hAnsi="仿宋" w:eastAsia="仿宋" w:cs="仿宋"/>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DDE63"/>
    <w:multiLevelType w:val="multilevel"/>
    <w:tmpl w:val="740DDE63"/>
    <w:lvl w:ilvl="0" w:tentative="0">
      <w:start w:val="1"/>
      <w:numFmt w:val="decimal"/>
      <w:suff w:val="nothing"/>
      <w:lvlText w:val="[%1]"/>
      <w:lvlJc w:val="left"/>
      <w:pPr>
        <w:tabs>
          <w:tab w:val="left" w:pos="0"/>
        </w:tabs>
        <w:ind w:left="0" w:firstLine="600"/>
      </w:pPr>
      <w:rPr>
        <w:rFonts w:hint="default" w:cs="Times New Roman"/>
        <w:b w:val="0"/>
        <w:bCs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B27EB53"/>
    <w:multiLevelType w:val="multilevel"/>
    <w:tmpl w:val="7B27EB53"/>
    <w:lvl w:ilvl="0" w:tentative="0">
      <w:start w:val="1"/>
      <w:numFmt w:val="decimal"/>
      <w:suff w:val="nothing"/>
      <w:lvlText w:val="%1"/>
      <w:lvlJc w:val="left"/>
      <w:pPr>
        <w:tabs>
          <w:tab w:val="left" w:pos="567"/>
        </w:tabs>
        <w:ind w:left="567" w:hanging="567"/>
      </w:pPr>
      <w:rPr>
        <w:rFonts w:hint="default" w:ascii="Times New Roman" w:hAnsi="Times New Roman"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mMjc3NWZjNGJlY2MxY2QwOThlMjUwOGFlNjI1YzUifQ=="/>
    <w:docVar w:name="KSO_WPS_MARK_KEY" w:val="13d97078-59d4-49ca-8dde-279b2b2339b1"/>
  </w:docVars>
  <w:rsids>
    <w:rsidRoot w:val="00363898"/>
    <w:rsid w:val="00000084"/>
    <w:rsid w:val="00001FD9"/>
    <w:rsid w:val="00004188"/>
    <w:rsid w:val="00005402"/>
    <w:rsid w:val="00005E89"/>
    <w:rsid w:val="00013208"/>
    <w:rsid w:val="000143C2"/>
    <w:rsid w:val="00021FA3"/>
    <w:rsid w:val="0002218C"/>
    <w:rsid w:val="00023773"/>
    <w:rsid w:val="00023B75"/>
    <w:rsid w:val="000247AB"/>
    <w:rsid w:val="00025564"/>
    <w:rsid w:val="000266F3"/>
    <w:rsid w:val="000276F3"/>
    <w:rsid w:val="0003262D"/>
    <w:rsid w:val="00041ABB"/>
    <w:rsid w:val="00044215"/>
    <w:rsid w:val="00044D33"/>
    <w:rsid w:val="000477A0"/>
    <w:rsid w:val="00051ECA"/>
    <w:rsid w:val="00053619"/>
    <w:rsid w:val="00055568"/>
    <w:rsid w:val="0006762F"/>
    <w:rsid w:val="0007061A"/>
    <w:rsid w:val="00070631"/>
    <w:rsid w:val="00074A12"/>
    <w:rsid w:val="0007578E"/>
    <w:rsid w:val="0008192E"/>
    <w:rsid w:val="0008340A"/>
    <w:rsid w:val="00083432"/>
    <w:rsid w:val="00083742"/>
    <w:rsid w:val="00085186"/>
    <w:rsid w:val="00086420"/>
    <w:rsid w:val="00087DD9"/>
    <w:rsid w:val="00091982"/>
    <w:rsid w:val="000A1AE3"/>
    <w:rsid w:val="000A4E4F"/>
    <w:rsid w:val="000A7791"/>
    <w:rsid w:val="000B001D"/>
    <w:rsid w:val="000B4CDE"/>
    <w:rsid w:val="000C17B1"/>
    <w:rsid w:val="000C2675"/>
    <w:rsid w:val="000C3E14"/>
    <w:rsid w:val="000D05F9"/>
    <w:rsid w:val="000D4B27"/>
    <w:rsid w:val="000D524F"/>
    <w:rsid w:val="000D5901"/>
    <w:rsid w:val="000D5EF1"/>
    <w:rsid w:val="000E0DA5"/>
    <w:rsid w:val="000E20D0"/>
    <w:rsid w:val="000F5D12"/>
    <w:rsid w:val="000F7546"/>
    <w:rsid w:val="000F7C84"/>
    <w:rsid w:val="001013F1"/>
    <w:rsid w:val="00106C3D"/>
    <w:rsid w:val="00107942"/>
    <w:rsid w:val="00111C6F"/>
    <w:rsid w:val="00112B2F"/>
    <w:rsid w:val="0011368C"/>
    <w:rsid w:val="00113D7B"/>
    <w:rsid w:val="00114149"/>
    <w:rsid w:val="00114932"/>
    <w:rsid w:val="00115C07"/>
    <w:rsid w:val="00116684"/>
    <w:rsid w:val="001202A6"/>
    <w:rsid w:val="001237E5"/>
    <w:rsid w:val="0012746E"/>
    <w:rsid w:val="00134055"/>
    <w:rsid w:val="0013474B"/>
    <w:rsid w:val="00142088"/>
    <w:rsid w:val="00154FED"/>
    <w:rsid w:val="00164D06"/>
    <w:rsid w:val="001656F0"/>
    <w:rsid w:val="00165901"/>
    <w:rsid w:val="001667A0"/>
    <w:rsid w:val="00172EA0"/>
    <w:rsid w:val="001748BB"/>
    <w:rsid w:val="00180070"/>
    <w:rsid w:val="00180941"/>
    <w:rsid w:val="0018323F"/>
    <w:rsid w:val="00186182"/>
    <w:rsid w:val="00195199"/>
    <w:rsid w:val="00196974"/>
    <w:rsid w:val="001A097A"/>
    <w:rsid w:val="001B01DE"/>
    <w:rsid w:val="001B0707"/>
    <w:rsid w:val="001B0EB7"/>
    <w:rsid w:val="001B1A02"/>
    <w:rsid w:val="001B5954"/>
    <w:rsid w:val="001C36F1"/>
    <w:rsid w:val="001C5087"/>
    <w:rsid w:val="001C6B31"/>
    <w:rsid w:val="001D0CB8"/>
    <w:rsid w:val="001E48C0"/>
    <w:rsid w:val="0020538E"/>
    <w:rsid w:val="0020659E"/>
    <w:rsid w:val="00211F2A"/>
    <w:rsid w:val="00212AE2"/>
    <w:rsid w:val="00213490"/>
    <w:rsid w:val="00231FDE"/>
    <w:rsid w:val="00233168"/>
    <w:rsid w:val="002425BD"/>
    <w:rsid w:val="002437E1"/>
    <w:rsid w:val="002500B8"/>
    <w:rsid w:val="00251570"/>
    <w:rsid w:val="00253154"/>
    <w:rsid w:val="00254AA4"/>
    <w:rsid w:val="0026057E"/>
    <w:rsid w:val="00273C02"/>
    <w:rsid w:val="00280C08"/>
    <w:rsid w:val="00281DC0"/>
    <w:rsid w:val="002A0B64"/>
    <w:rsid w:val="002A2EC9"/>
    <w:rsid w:val="002A533D"/>
    <w:rsid w:val="002A7DFA"/>
    <w:rsid w:val="002B00BD"/>
    <w:rsid w:val="002B48AF"/>
    <w:rsid w:val="002B613F"/>
    <w:rsid w:val="002C52D2"/>
    <w:rsid w:val="002D4884"/>
    <w:rsid w:val="002D7F01"/>
    <w:rsid w:val="002E0BA5"/>
    <w:rsid w:val="002E1523"/>
    <w:rsid w:val="002E1A2A"/>
    <w:rsid w:val="002E5BE6"/>
    <w:rsid w:val="002F26C3"/>
    <w:rsid w:val="00304BCC"/>
    <w:rsid w:val="0031361E"/>
    <w:rsid w:val="00314A57"/>
    <w:rsid w:val="0031561D"/>
    <w:rsid w:val="00320548"/>
    <w:rsid w:val="00323B49"/>
    <w:rsid w:val="003331B5"/>
    <w:rsid w:val="00334FB9"/>
    <w:rsid w:val="0033532B"/>
    <w:rsid w:val="00335E8A"/>
    <w:rsid w:val="0034454F"/>
    <w:rsid w:val="00347F21"/>
    <w:rsid w:val="00353876"/>
    <w:rsid w:val="003566D1"/>
    <w:rsid w:val="00357809"/>
    <w:rsid w:val="00361AFF"/>
    <w:rsid w:val="00361F44"/>
    <w:rsid w:val="00361F54"/>
    <w:rsid w:val="00363898"/>
    <w:rsid w:val="00365F31"/>
    <w:rsid w:val="00367F5A"/>
    <w:rsid w:val="003700DA"/>
    <w:rsid w:val="0037131C"/>
    <w:rsid w:val="003721E6"/>
    <w:rsid w:val="00372494"/>
    <w:rsid w:val="0037318C"/>
    <w:rsid w:val="00374BBC"/>
    <w:rsid w:val="003828B7"/>
    <w:rsid w:val="00383EC3"/>
    <w:rsid w:val="003871FB"/>
    <w:rsid w:val="003903A3"/>
    <w:rsid w:val="00391FC5"/>
    <w:rsid w:val="00392334"/>
    <w:rsid w:val="003A2118"/>
    <w:rsid w:val="003A4DB8"/>
    <w:rsid w:val="003A4F6B"/>
    <w:rsid w:val="003A6F86"/>
    <w:rsid w:val="003B093E"/>
    <w:rsid w:val="003B1795"/>
    <w:rsid w:val="003B3AF7"/>
    <w:rsid w:val="003B729A"/>
    <w:rsid w:val="003C234D"/>
    <w:rsid w:val="003D0F7C"/>
    <w:rsid w:val="003D26BC"/>
    <w:rsid w:val="003E5ACD"/>
    <w:rsid w:val="003E5DCB"/>
    <w:rsid w:val="003E6D1E"/>
    <w:rsid w:val="003F34A8"/>
    <w:rsid w:val="004038F2"/>
    <w:rsid w:val="004049DA"/>
    <w:rsid w:val="00413DF2"/>
    <w:rsid w:val="0042259E"/>
    <w:rsid w:val="00423888"/>
    <w:rsid w:val="00430E0E"/>
    <w:rsid w:val="00434D64"/>
    <w:rsid w:val="0044083E"/>
    <w:rsid w:val="00441191"/>
    <w:rsid w:val="00443369"/>
    <w:rsid w:val="00453EB0"/>
    <w:rsid w:val="004623E4"/>
    <w:rsid w:val="00462B7D"/>
    <w:rsid w:val="0046336C"/>
    <w:rsid w:val="004650F9"/>
    <w:rsid w:val="004653CC"/>
    <w:rsid w:val="0046551C"/>
    <w:rsid w:val="00465C69"/>
    <w:rsid w:val="004729DD"/>
    <w:rsid w:val="0047325C"/>
    <w:rsid w:val="00474B85"/>
    <w:rsid w:val="00483619"/>
    <w:rsid w:val="00484137"/>
    <w:rsid w:val="00485ED5"/>
    <w:rsid w:val="004862F5"/>
    <w:rsid w:val="0049280F"/>
    <w:rsid w:val="004A07E7"/>
    <w:rsid w:val="004A20B7"/>
    <w:rsid w:val="004A6A62"/>
    <w:rsid w:val="004A7EEB"/>
    <w:rsid w:val="004B19BE"/>
    <w:rsid w:val="004B2A83"/>
    <w:rsid w:val="004B787D"/>
    <w:rsid w:val="004B7E16"/>
    <w:rsid w:val="004C1BCA"/>
    <w:rsid w:val="004C5D65"/>
    <w:rsid w:val="004C6247"/>
    <w:rsid w:val="004D5DC6"/>
    <w:rsid w:val="004D7888"/>
    <w:rsid w:val="004E08F9"/>
    <w:rsid w:val="004E1296"/>
    <w:rsid w:val="004F1284"/>
    <w:rsid w:val="005022C4"/>
    <w:rsid w:val="005109B1"/>
    <w:rsid w:val="0051224B"/>
    <w:rsid w:val="00515378"/>
    <w:rsid w:val="00517C92"/>
    <w:rsid w:val="00520D7C"/>
    <w:rsid w:val="00522D8E"/>
    <w:rsid w:val="00523B58"/>
    <w:rsid w:val="00525626"/>
    <w:rsid w:val="00533022"/>
    <w:rsid w:val="0054031C"/>
    <w:rsid w:val="00540F6D"/>
    <w:rsid w:val="00541F11"/>
    <w:rsid w:val="00552F55"/>
    <w:rsid w:val="0056788F"/>
    <w:rsid w:val="00570217"/>
    <w:rsid w:val="00572F84"/>
    <w:rsid w:val="00575D76"/>
    <w:rsid w:val="00580016"/>
    <w:rsid w:val="0058277F"/>
    <w:rsid w:val="005853CF"/>
    <w:rsid w:val="005876EC"/>
    <w:rsid w:val="00590FE0"/>
    <w:rsid w:val="0059679D"/>
    <w:rsid w:val="005A3FAF"/>
    <w:rsid w:val="005A463C"/>
    <w:rsid w:val="005A55C9"/>
    <w:rsid w:val="005B07BD"/>
    <w:rsid w:val="005B13EF"/>
    <w:rsid w:val="005B7EEF"/>
    <w:rsid w:val="005B7FF2"/>
    <w:rsid w:val="005C69C7"/>
    <w:rsid w:val="005C7D8A"/>
    <w:rsid w:val="005D0C0F"/>
    <w:rsid w:val="005D4007"/>
    <w:rsid w:val="005D75D5"/>
    <w:rsid w:val="005E1890"/>
    <w:rsid w:val="005E4A04"/>
    <w:rsid w:val="005E539E"/>
    <w:rsid w:val="005E7B61"/>
    <w:rsid w:val="005F3FB6"/>
    <w:rsid w:val="005F5090"/>
    <w:rsid w:val="005F66D0"/>
    <w:rsid w:val="005F68C0"/>
    <w:rsid w:val="00600F91"/>
    <w:rsid w:val="00601C9D"/>
    <w:rsid w:val="006052DF"/>
    <w:rsid w:val="006068B2"/>
    <w:rsid w:val="006070FF"/>
    <w:rsid w:val="00607E79"/>
    <w:rsid w:val="00610874"/>
    <w:rsid w:val="00610AB5"/>
    <w:rsid w:val="00611613"/>
    <w:rsid w:val="00611DAC"/>
    <w:rsid w:val="0061321B"/>
    <w:rsid w:val="00616ABF"/>
    <w:rsid w:val="00621A95"/>
    <w:rsid w:val="00622C2B"/>
    <w:rsid w:val="006325BA"/>
    <w:rsid w:val="00635CEE"/>
    <w:rsid w:val="006431F6"/>
    <w:rsid w:val="00645B57"/>
    <w:rsid w:val="00645EE4"/>
    <w:rsid w:val="0065209F"/>
    <w:rsid w:val="006529D2"/>
    <w:rsid w:val="0065306B"/>
    <w:rsid w:val="0065659A"/>
    <w:rsid w:val="0066182A"/>
    <w:rsid w:val="00661C9D"/>
    <w:rsid w:val="0066264A"/>
    <w:rsid w:val="00667047"/>
    <w:rsid w:val="0066745A"/>
    <w:rsid w:val="006717FE"/>
    <w:rsid w:val="00676125"/>
    <w:rsid w:val="006764A3"/>
    <w:rsid w:val="00680941"/>
    <w:rsid w:val="0069181E"/>
    <w:rsid w:val="00691C7B"/>
    <w:rsid w:val="00692751"/>
    <w:rsid w:val="006936FF"/>
    <w:rsid w:val="00694ABB"/>
    <w:rsid w:val="00695A98"/>
    <w:rsid w:val="006A0AC6"/>
    <w:rsid w:val="006A18C1"/>
    <w:rsid w:val="006A301B"/>
    <w:rsid w:val="006A3C44"/>
    <w:rsid w:val="006B1BBF"/>
    <w:rsid w:val="006B343E"/>
    <w:rsid w:val="006B5338"/>
    <w:rsid w:val="006B7949"/>
    <w:rsid w:val="006C12CA"/>
    <w:rsid w:val="006C1A64"/>
    <w:rsid w:val="006C5286"/>
    <w:rsid w:val="006C5F3C"/>
    <w:rsid w:val="006D1A82"/>
    <w:rsid w:val="006D675A"/>
    <w:rsid w:val="006E0295"/>
    <w:rsid w:val="006E1C2B"/>
    <w:rsid w:val="006E1FBB"/>
    <w:rsid w:val="006E3C89"/>
    <w:rsid w:val="006F15C5"/>
    <w:rsid w:val="006F3B03"/>
    <w:rsid w:val="006F546E"/>
    <w:rsid w:val="006F5C9A"/>
    <w:rsid w:val="00706990"/>
    <w:rsid w:val="00706D44"/>
    <w:rsid w:val="00715CBF"/>
    <w:rsid w:val="007174D0"/>
    <w:rsid w:val="00725BD2"/>
    <w:rsid w:val="0072681B"/>
    <w:rsid w:val="00731B83"/>
    <w:rsid w:val="00731F88"/>
    <w:rsid w:val="007344FD"/>
    <w:rsid w:val="00735129"/>
    <w:rsid w:val="00742060"/>
    <w:rsid w:val="00742B1E"/>
    <w:rsid w:val="00743FE3"/>
    <w:rsid w:val="0075203E"/>
    <w:rsid w:val="00753158"/>
    <w:rsid w:val="007531C1"/>
    <w:rsid w:val="00753CC0"/>
    <w:rsid w:val="007541A4"/>
    <w:rsid w:val="00754D5E"/>
    <w:rsid w:val="00762991"/>
    <w:rsid w:val="0076299D"/>
    <w:rsid w:val="00763263"/>
    <w:rsid w:val="00764EC7"/>
    <w:rsid w:val="007665EE"/>
    <w:rsid w:val="007718DD"/>
    <w:rsid w:val="007726CD"/>
    <w:rsid w:val="00773643"/>
    <w:rsid w:val="007768FD"/>
    <w:rsid w:val="007771F7"/>
    <w:rsid w:val="00777C42"/>
    <w:rsid w:val="00781BCB"/>
    <w:rsid w:val="007854A3"/>
    <w:rsid w:val="0078752A"/>
    <w:rsid w:val="00787FB6"/>
    <w:rsid w:val="00793124"/>
    <w:rsid w:val="007938D7"/>
    <w:rsid w:val="007975F0"/>
    <w:rsid w:val="007978DA"/>
    <w:rsid w:val="007A007A"/>
    <w:rsid w:val="007B3720"/>
    <w:rsid w:val="007B4FF0"/>
    <w:rsid w:val="007B50DE"/>
    <w:rsid w:val="007C0830"/>
    <w:rsid w:val="007C2AFA"/>
    <w:rsid w:val="007C3B4E"/>
    <w:rsid w:val="007C587B"/>
    <w:rsid w:val="007D60C1"/>
    <w:rsid w:val="007D63C3"/>
    <w:rsid w:val="007D79F1"/>
    <w:rsid w:val="007E1798"/>
    <w:rsid w:val="007E4F83"/>
    <w:rsid w:val="007E55E9"/>
    <w:rsid w:val="007E5CC8"/>
    <w:rsid w:val="007F29C0"/>
    <w:rsid w:val="00800F96"/>
    <w:rsid w:val="008146CE"/>
    <w:rsid w:val="008155C5"/>
    <w:rsid w:val="00820828"/>
    <w:rsid w:val="00831018"/>
    <w:rsid w:val="00831D6C"/>
    <w:rsid w:val="0083202E"/>
    <w:rsid w:val="00833A74"/>
    <w:rsid w:val="0083401A"/>
    <w:rsid w:val="0083757E"/>
    <w:rsid w:val="00842F65"/>
    <w:rsid w:val="00843D25"/>
    <w:rsid w:val="00845225"/>
    <w:rsid w:val="0085079F"/>
    <w:rsid w:val="00854146"/>
    <w:rsid w:val="00861AAB"/>
    <w:rsid w:val="0086243D"/>
    <w:rsid w:val="00863271"/>
    <w:rsid w:val="00863BC5"/>
    <w:rsid w:val="00870C37"/>
    <w:rsid w:val="0087339F"/>
    <w:rsid w:val="0087504A"/>
    <w:rsid w:val="00876521"/>
    <w:rsid w:val="008845D6"/>
    <w:rsid w:val="00884648"/>
    <w:rsid w:val="00887A8E"/>
    <w:rsid w:val="00890A85"/>
    <w:rsid w:val="00892324"/>
    <w:rsid w:val="008978C4"/>
    <w:rsid w:val="00897B91"/>
    <w:rsid w:val="00897DB3"/>
    <w:rsid w:val="008A2B21"/>
    <w:rsid w:val="008A395F"/>
    <w:rsid w:val="008A6BB6"/>
    <w:rsid w:val="008A6DA4"/>
    <w:rsid w:val="008A71DB"/>
    <w:rsid w:val="008A79B1"/>
    <w:rsid w:val="008B27C4"/>
    <w:rsid w:val="008B7D2B"/>
    <w:rsid w:val="008C27C5"/>
    <w:rsid w:val="008C6B2A"/>
    <w:rsid w:val="008C7B33"/>
    <w:rsid w:val="008D0427"/>
    <w:rsid w:val="008D2ADF"/>
    <w:rsid w:val="008D5E0A"/>
    <w:rsid w:val="008D6D0F"/>
    <w:rsid w:val="008D6FC6"/>
    <w:rsid w:val="008E0258"/>
    <w:rsid w:val="008E5CCD"/>
    <w:rsid w:val="008E705C"/>
    <w:rsid w:val="008E7BD5"/>
    <w:rsid w:val="008F399F"/>
    <w:rsid w:val="00903E54"/>
    <w:rsid w:val="0091407C"/>
    <w:rsid w:val="00917AAD"/>
    <w:rsid w:val="00923166"/>
    <w:rsid w:val="00923328"/>
    <w:rsid w:val="0093402C"/>
    <w:rsid w:val="00940AB8"/>
    <w:rsid w:val="009536BE"/>
    <w:rsid w:val="00955BF7"/>
    <w:rsid w:val="009602A9"/>
    <w:rsid w:val="00961571"/>
    <w:rsid w:val="00962D93"/>
    <w:rsid w:val="00965AED"/>
    <w:rsid w:val="00971736"/>
    <w:rsid w:val="009756D1"/>
    <w:rsid w:val="00977EFE"/>
    <w:rsid w:val="00996310"/>
    <w:rsid w:val="0099685F"/>
    <w:rsid w:val="00996952"/>
    <w:rsid w:val="00996A25"/>
    <w:rsid w:val="009A2DA7"/>
    <w:rsid w:val="009A31B4"/>
    <w:rsid w:val="009A364B"/>
    <w:rsid w:val="009A3F93"/>
    <w:rsid w:val="009B69E3"/>
    <w:rsid w:val="009C68FA"/>
    <w:rsid w:val="009D1D14"/>
    <w:rsid w:val="009D1DD7"/>
    <w:rsid w:val="009D53E2"/>
    <w:rsid w:val="009D668E"/>
    <w:rsid w:val="009E560E"/>
    <w:rsid w:val="009F2002"/>
    <w:rsid w:val="009F36CF"/>
    <w:rsid w:val="009F6AAA"/>
    <w:rsid w:val="00A015DC"/>
    <w:rsid w:val="00A023A5"/>
    <w:rsid w:val="00A05916"/>
    <w:rsid w:val="00A102FC"/>
    <w:rsid w:val="00A1236B"/>
    <w:rsid w:val="00A16686"/>
    <w:rsid w:val="00A20B2E"/>
    <w:rsid w:val="00A24795"/>
    <w:rsid w:val="00A2674F"/>
    <w:rsid w:val="00A30F76"/>
    <w:rsid w:val="00A312D5"/>
    <w:rsid w:val="00A32BAB"/>
    <w:rsid w:val="00A40CFC"/>
    <w:rsid w:val="00A41D57"/>
    <w:rsid w:val="00A451D6"/>
    <w:rsid w:val="00A46CD2"/>
    <w:rsid w:val="00A46CFE"/>
    <w:rsid w:val="00A47A5E"/>
    <w:rsid w:val="00A549E3"/>
    <w:rsid w:val="00A55619"/>
    <w:rsid w:val="00A55700"/>
    <w:rsid w:val="00A57EE0"/>
    <w:rsid w:val="00A62444"/>
    <w:rsid w:val="00A637C7"/>
    <w:rsid w:val="00A65D27"/>
    <w:rsid w:val="00A74236"/>
    <w:rsid w:val="00A74394"/>
    <w:rsid w:val="00A831BF"/>
    <w:rsid w:val="00A83D1D"/>
    <w:rsid w:val="00A9594D"/>
    <w:rsid w:val="00AA69E3"/>
    <w:rsid w:val="00AA7531"/>
    <w:rsid w:val="00AB2259"/>
    <w:rsid w:val="00AB4EF9"/>
    <w:rsid w:val="00AD49A8"/>
    <w:rsid w:val="00AE11C4"/>
    <w:rsid w:val="00AE3539"/>
    <w:rsid w:val="00AE3B7B"/>
    <w:rsid w:val="00AF28E1"/>
    <w:rsid w:val="00AF2A2A"/>
    <w:rsid w:val="00AF32B0"/>
    <w:rsid w:val="00AF4B41"/>
    <w:rsid w:val="00AF6040"/>
    <w:rsid w:val="00B04565"/>
    <w:rsid w:val="00B04B2E"/>
    <w:rsid w:val="00B06330"/>
    <w:rsid w:val="00B06ADB"/>
    <w:rsid w:val="00B10882"/>
    <w:rsid w:val="00B11C9A"/>
    <w:rsid w:val="00B17184"/>
    <w:rsid w:val="00B17773"/>
    <w:rsid w:val="00B17BE8"/>
    <w:rsid w:val="00B22294"/>
    <w:rsid w:val="00B24E5D"/>
    <w:rsid w:val="00B34E73"/>
    <w:rsid w:val="00B35E1D"/>
    <w:rsid w:val="00B37F9D"/>
    <w:rsid w:val="00B50945"/>
    <w:rsid w:val="00B532F1"/>
    <w:rsid w:val="00B53BE6"/>
    <w:rsid w:val="00B560AF"/>
    <w:rsid w:val="00B5763C"/>
    <w:rsid w:val="00B57EEA"/>
    <w:rsid w:val="00B60E77"/>
    <w:rsid w:val="00B61930"/>
    <w:rsid w:val="00B62253"/>
    <w:rsid w:val="00B6328A"/>
    <w:rsid w:val="00B63790"/>
    <w:rsid w:val="00B65641"/>
    <w:rsid w:val="00B704BA"/>
    <w:rsid w:val="00B70625"/>
    <w:rsid w:val="00B719D2"/>
    <w:rsid w:val="00B72D93"/>
    <w:rsid w:val="00B72DC2"/>
    <w:rsid w:val="00B81C9A"/>
    <w:rsid w:val="00B8220F"/>
    <w:rsid w:val="00B8446B"/>
    <w:rsid w:val="00B86741"/>
    <w:rsid w:val="00B93CBB"/>
    <w:rsid w:val="00B95D02"/>
    <w:rsid w:val="00BA09CE"/>
    <w:rsid w:val="00BA641B"/>
    <w:rsid w:val="00BC6F6A"/>
    <w:rsid w:val="00BD1A7E"/>
    <w:rsid w:val="00BD28EC"/>
    <w:rsid w:val="00BD4359"/>
    <w:rsid w:val="00BD665F"/>
    <w:rsid w:val="00BD7688"/>
    <w:rsid w:val="00BE24E9"/>
    <w:rsid w:val="00BE48E0"/>
    <w:rsid w:val="00BF0358"/>
    <w:rsid w:val="00BF0593"/>
    <w:rsid w:val="00BF1321"/>
    <w:rsid w:val="00BF7630"/>
    <w:rsid w:val="00C00066"/>
    <w:rsid w:val="00C01D33"/>
    <w:rsid w:val="00C26024"/>
    <w:rsid w:val="00C2787D"/>
    <w:rsid w:val="00C31B9E"/>
    <w:rsid w:val="00C32CD7"/>
    <w:rsid w:val="00C339D0"/>
    <w:rsid w:val="00C37C6B"/>
    <w:rsid w:val="00C37C88"/>
    <w:rsid w:val="00C466DA"/>
    <w:rsid w:val="00C4697C"/>
    <w:rsid w:val="00C527FF"/>
    <w:rsid w:val="00C53087"/>
    <w:rsid w:val="00C545F0"/>
    <w:rsid w:val="00C55472"/>
    <w:rsid w:val="00C608ED"/>
    <w:rsid w:val="00C620F5"/>
    <w:rsid w:val="00C63DE0"/>
    <w:rsid w:val="00C71DC3"/>
    <w:rsid w:val="00C85C8B"/>
    <w:rsid w:val="00C86AFC"/>
    <w:rsid w:val="00C91079"/>
    <w:rsid w:val="00C9192A"/>
    <w:rsid w:val="00C94888"/>
    <w:rsid w:val="00CA4B73"/>
    <w:rsid w:val="00CB29F7"/>
    <w:rsid w:val="00CB552A"/>
    <w:rsid w:val="00CB67E4"/>
    <w:rsid w:val="00CC28C7"/>
    <w:rsid w:val="00CD4110"/>
    <w:rsid w:val="00CE1C4D"/>
    <w:rsid w:val="00CE4B97"/>
    <w:rsid w:val="00CF025D"/>
    <w:rsid w:val="00CF33C3"/>
    <w:rsid w:val="00CF4D75"/>
    <w:rsid w:val="00CF7101"/>
    <w:rsid w:val="00D038C4"/>
    <w:rsid w:val="00D054CE"/>
    <w:rsid w:val="00D06150"/>
    <w:rsid w:val="00D0686F"/>
    <w:rsid w:val="00D10049"/>
    <w:rsid w:val="00D12C34"/>
    <w:rsid w:val="00D20D79"/>
    <w:rsid w:val="00D22E8D"/>
    <w:rsid w:val="00D303AC"/>
    <w:rsid w:val="00D32B5C"/>
    <w:rsid w:val="00D336A1"/>
    <w:rsid w:val="00D36E0D"/>
    <w:rsid w:val="00D4252D"/>
    <w:rsid w:val="00D434F0"/>
    <w:rsid w:val="00D4672B"/>
    <w:rsid w:val="00D556DE"/>
    <w:rsid w:val="00D55833"/>
    <w:rsid w:val="00D55C1A"/>
    <w:rsid w:val="00D603A8"/>
    <w:rsid w:val="00D6195D"/>
    <w:rsid w:val="00D66293"/>
    <w:rsid w:val="00D676FD"/>
    <w:rsid w:val="00D678C5"/>
    <w:rsid w:val="00D71238"/>
    <w:rsid w:val="00D741CB"/>
    <w:rsid w:val="00D74E7B"/>
    <w:rsid w:val="00D77EFE"/>
    <w:rsid w:val="00D908D3"/>
    <w:rsid w:val="00D968A9"/>
    <w:rsid w:val="00D9711E"/>
    <w:rsid w:val="00DA03DA"/>
    <w:rsid w:val="00DA0997"/>
    <w:rsid w:val="00DA6313"/>
    <w:rsid w:val="00DB02DA"/>
    <w:rsid w:val="00DB202E"/>
    <w:rsid w:val="00DB41B2"/>
    <w:rsid w:val="00DB434B"/>
    <w:rsid w:val="00DB5DB8"/>
    <w:rsid w:val="00DD4990"/>
    <w:rsid w:val="00DE1948"/>
    <w:rsid w:val="00DE2320"/>
    <w:rsid w:val="00DF107A"/>
    <w:rsid w:val="00DF5724"/>
    <w:rsid w:val="00DF5EF8"/>
    <w:rsid w:val="00DF72EE"/>
    <w:rsid w:val="00E00D52"/>
    <w:rsid w:val="00E07C79"/>
    <w:rsid w:val="00E10625"/>
    <w:rsid w:val="00E14A44"/>
    <w:rsid w:val="00E17163"/>
    <w:rsid w:val="00E1771F"/>
    <w:rsid w:val="00E21031"/>
    <w:rsid w:val="00E22025"/>
    <w:rsid w:val="00E27F20"/>
    <w:rsid w:val="00E37361"/>
    <w:rsid w:val="00E37EF3"/>
    <w:rsid w:val="00E45173"/>
    <w:rsid w:val="00E548E0"/>
    <w:rsid w:val="00E57632"/>
    <w:rsid w:val="00E61521"/>
    <w:rsid w:val="00E70300"/>
    <w:rsid w:val="00E75150"/>
    <w:rsid w:val="00E81303"/>
    <w:rsid w:val="00E840D1"/>
    <w:rsid w:val="00E9064F"/>
    <w:rsid w:val="00E90DEF"/>
    <w:rsid w:val="00E92E45"/>
    <w:rsid w:val="00EA1171"/>
    <w:rsid w:val="00EA61F7"/>
    <w:rsid w:val="00EA7164"/>
    <w:rsid w:val="00EB45D4"/>
    <w:rsid w:val="00EC4BD9"/>
    <w:rsid w:val="00EC5075"/>
    <w:rsid w:val="00EC6129"/>
    <w:rsid w:val="00ED2500"/>
    <w:rsid w:val="00ED3AD3"/>
    <w:rsid w:val="00ED49D2"/>
    <w:rsid w:val="00EE35EA"/>
    <w:rsid w:val="00EE390F"/>
    <w:rsid w:val="00EE3FA6"/>
    <w:rsid w:val="00EF3410"/>
    <w:rsid w:val="00EF520C"/>
    <w:rsid w:val="00F10B4B"/>
    <w:rsid w:val="00F128D2"/>
    <w:rsid w:val="00F275C0"/>
    <w:rsid w:val="00F34351"/>
    <w:rsid w:val="00F43EB0"/>
    <w:rsid w:val="00F441D5"/>
    <w:rsid w:val="00F55FAF"/>
    <w:rsid w:val="00F715C5"/>
    <w:rsid w:val="00F74E0F"/>
    <w:rsid w:val="00F75FCD"/>
    <w:rsid w:val="00F80AA2"/>
    <w:rsid w:val="00F80BC7"/>
    <w:rsid w:val="00F83556"/>
    <w:rsid w:val="00F83BA3"/>
    <w:rsid w:val="00F90D31"/>
    <w:rsid w:val="00F948DD"/>
    <w:rsid w:val="00F94959"/>
    <w:rsid w:val="00FA1373"/>
    <w:rsid w:val="00FB7F32"/>
    <w:rsid w:val="00FC3137"/>
    <w:rsid w:val="00FD3A41"/>
    <w:rsid w:val="00FD5B3F"/>
    <w:rsid w:val="00FF1569"/>
    <w:rsid w:val="00FF3623"/>
    <w:rsid w:val="00FF4885"/>
    <w:rsid w:val="00FF4FEE"/>
    <w:rsid w:val="00FF5E94"/>
    <w:rsid w:val="01907CD1"/>
    <w:rsid w:val="019473DE"/>
    <w:rsid w:val="01AC31FA"/>
    <w:rsid w:val="02290C40"/>
    <w:rsid w:val="02F079B0"/>
    <w:rsid w:val="03470116"/>
    <w:rsid w:val="03DF363F"/>
    <w:rsid w:val="05AF76AE"/>
    <w:rsid w:val="06066393"/>
    <w:rsid w:val="065C131D"/>
    <w:rsid w:val="06631D60"/>
    <w:rsid w:val="066D6D1A"/>
    <w:rsid w:val="0678726C"/>
    <w:rsid w:val="069F5E6F"/>
    <w:rsid w:val="06D03D80"/>
    <w:rsid w:val="071A1A58"/>
    <w:rsid w:val="07394CA7"/>
    <w:rsid w:val="079B4D5C"/>
    <w:rsid w:val="081F4E5E"/>
    <w:rsid w:val="0882554E"/>
    <w:rsid w:val="08B469A6"/>
    <w:rsid w:val="093E3C18"/>
    <w:rsid w:val="09630B0D"/>
    <w:rsid w:val="0A677700"/>
    <w:rsid w:val="0B624571"/>
    <w:rsid w:val="0BA61631"/>
    <w:rsid w:val="0CCF0761"/>
    <w:rsid w:val="0DE3083D"/>
    <w:rsid w:val="0DEC2354"/>
    <w:rsid w:val="0E0716D4"/>
    <w:rsid w:val="0E941B37"/>
    <w:rsid w:val="0EA128A1"/>
    <w:rsid w:val="0EE70191"/>
    <w:rsid w:val="11364B07"/>
    <w:rsid w:val="114525FF"/>
    <w:rsid w:val="11572595"/>
    <w:rsid w:val="11C56428"/>
    <w:rsid w:val="136C5AF6"/>
    <w:rsid w:val="13F137BB"/>
    <w:rsid w:val="14292D22"/>
    <w:rsid w:val="143A6C6E"/>
    <w:rsid w:val="155B33AF"/>
    <w:rsid w:val="15732FC0"/>
    <w:rsid w:val="158F0319"/>
    <w:rsid w:val="16077093"/>
    <w:rsid w:val="16A02247"/>
    <w:rsid w:val="170F26A3"/>
    <w:rsid w:val="186E5ABF"/>
    <w:rsid w:val="193B3EEC"/>
    <w:rsid w:val="19B25A82"/>
    <w:rsid w:val="1B080A85"/>
    <w:rsid w:val="1B8165B4"/>
    <w:rsid w:val="1C65786C"/>
    <w:rsid w:val="1C6C135A"/>
    <w:rsid w:val="1DE76DA2"/>
    <w:rsid w:val="1ECC49BB"/>
    <w:rsid w:val="20454721"/>
    <w:rsid w:val="20B00A53"/>
    <w:rsid w:val="20CE7597"/>
    <w:rsid w:val="21061370"/>
    <w:rsid w:val="23525171"/>
    <w:rsid w:val="255D282B"/>
    <w:rsid w:val="2574470D"/>
    <w:rsid w:val="27EC1EDD"/>
    <w:rsid w:val="282E594E"/>
    <w:rsid w:val="286C2157"/>
    <w:rsid w:val="293C7699"/>
    <w:rsid w:val="29C67837"/>
    <w:rsid w:val="29EC6AF2"/>
    <w:rsid w:val="2A530D92"/>
    <w:rsid w:val="2ACE05AB"/>
    <w:rsid w:val="2B3F7D0C"/>
    <w:rsid w:val="2B487F98"/>
    <w:rsid w:val="2BC00C70"/>
    <w:rsid w:val="2C2C5E13"/>
    <w:rsid w:val="2C386A10"/>
    <w:rsid w:val="2CA864A2"/>
    <w:rsid w:val="2CCD410F"/>
    <w:rsid w:val="2CDF7FCA"/>
    <w:rsid w:val="2D710E1F"/>
    <w:rsid w:val="2EAB5E89"/>
    <w:rsid w:val="2F8D4759"/>
    <w:rsid w:val="303D3876"/>
    <w:rsid w:val="30F72DBA"/>
    <w:rsid w:val="313C2C5F"/>
    <w:rsid w:val="317A6513"/>
    <w:rsid w:val="3295193F"/>
    <w:rsid w:val="33AC38FA"/>
    <w:rsid w:val="34447998"/>
    <w:rsid w:val="344C063B"/>
    <w:rsid w:val="34FD31E9"/>
    <w:rsid w:val="35972133"/>
    <w:rsid w:val="35C6743D"/>
    <w:rsid w:val="373D070E"/>
    <w:rsid w:val="38026B05"/>
    <w:rsid w:val="392512F2"/>
    <w:rsid w:val="3953395C"/>
    <w:rsid w:val="398849D8"/>
    <w:rsid w:val="39AD4279"/>
    <w:rsid w:val="39B631A5"/>
    <w:rsid w:val="3A3319A4"/>
    <w:rsid w:val="3A5913BB"/>
    <w:rsid w:val="3B690AD0"/>
    <w:rsid w:val="3B7364AD"/>
    <w:rsid w:val="3BB84807"/>
    <w:rsid w:val="3BD00166"/>
    <w:rsid w:val="3C36222D"/>
    <w:rsid w:val="3CA1704A"/>
    <w:rsid w:val="3D132916"/>
    <w:rsid w:val="3D214C49"/>
    <w:rsid w:val="3E864749"/>
    <w:rsid w:val="3F4C5993"/>
    <w:rsid w:val="3F617A68"/>
    <w:rsid w:val="3F8559D3"/>
    <w:rsid w:val="3FD80FD4"/>
    <w:rsid w:val="40792FD2"/>
    <w:rsid w:val="409B6E5D"/>
    <w:rsid w:val="40D163EC"/>
    <w:rsid w:val="4141040B"/>
    <w:rsid w:val="416970AE"/>
    <w:rsid w:val="42295402"/>
    <w:rsid w:val="42DA32B5"/>
    <w:rsid w:val="44DD0B93"/>
    <w:rsid w:val="450B1E4C"/>
    <w:rsid w:val="45A57B8A"/>
    <w:rsid w:val="47132C26"/>
    <w:rsid w:val="47C44D2D"/>
    <w:rsid w:val="47D06A35"/>
    <w:rsid w:val="49275770"/>
    <w:rsid w:val="49592FB2"/>
    <w:rsid w:val="49614331"/>
    <w:rsid w:val="49782E3B"/>
    <w:rsid w:val="49B26895"/>
    <w:rsid w:val="4A1F3148"/>
    <w:rsid w:val="4ACD5CA3"/>
    <w:rsid w:val="4AD70E5A"/>
    <w:rsid w:val="4AF40C8C"/>
    <w:rsid w:val="4BB26B7D"/>
    <w:rsid w:val="4BD17A89"/>
    <w:rsid w:val="4BF86ED8"/>
    <w:rsid w:val="4C896B97"/>
    <w:rsid w:val="4D04236D"/>
    <w:rsid w:val="4D0D35DA"/>
    <w:rsid w:val="4D2837EF"/>
    <w:rsid w:val="4DA22C22"/>
    <w:rsid w:val="4DC112FA"/>
    <w:rsid w:val="4E9E624C"/>
    <w:rsid w:val="4F532425"/>
    <w:rsid w:val="50314D9A"/>
    <w:rsid w:val="50903205"/>
    <w:rsid w:val="50AA076B"/>
    <w:rsid w:val="514D3296"/>
    <w:rsid w:val="52A130C8"/>
    <w:rsid w:val="52C11D9C"/>
    <w:rsid w:val="52F004D9"/>
    <w:rsid w:val="533407C0"/>
    <w:rsid w:val="53893956"/>
    <w:rsid w:val="53D8114B"/>
    <w:rsid w:val="55684751"/>
    <w:rsid w:val="55EC506B"/>
    <w:rsid w:val="55F165FA"/>
    <w:rsid w:val="57660E1F"/>
    <w:rsid w:val="587860EC"/>
    <w:rsid w:val="58BA7F59"/>
    <w:rsid w:val="5A2D267C"/>
    <w:rsid w:val="5A601125"/>
    <w:rsid w:val="5ADE1B72"/>
    <w:rsid w:val="5BFC7855"/>
    <w:rsid w:val="5C1967A5"/>
    <w:rsid w:val="5E0E6E4D"/>
    <w:rsid w:val="5F5C70D4"/>
    <w:rsid w:val="5FE32E5D"/>
    <w:rsid w:val="60FF240D"/>
    <w:rsid w:val="619273BF"/>
    <w:rsid w:val="61C82219"/>
    <w:rsid w:val="62894684"/>
    <w:rsid w:val="62B82060"/>
    <w:rsid w:val="62F90829"/>
    <w:rsid w:val="63082517"/>
    <w:rsid w:val="63CB5E04"/>
    <w:rsid w:val="63D731CD"/>
    <w:rsid w:val="63E97AE8"/>
    <w:rsid w:val="64A909FF"/>
    <w:rsid w:val="65EE320E"/>
    <w:rsid w:val="669435F8"/>
    <w:rsid w:val="66CA1203"/>
    <w:rsid w:val="672229B1"/>
    <w:rsid w:val="68F62348"/>
    <w:rsid w:val="69D51194"/>
    <w:rsid w:val="69ED2126"/>
    <w:rsid w:val="69F66860"/>
    <w:rsid w:val="6A2B0A28"/>
    <w:rsid w:val="6A2C534B"/>
    <w:rsid w:val="6B471DBC"/>
    <w:rsid w:val="6B6D66FD"/>
    <w:rsid w:val="6CE516DE"/>
    <w:rsid w:val="6D271442"/>
    <w:rsid w:val="6D8B566A"/>
    <w:rsid w:val="6EBE3907"/>
    <w:rsid w:val="6F820A4C"/>
    <w:rsid w:val="6F822D6C"/>
    <w:rsid w:val="6F9D22B8"/>
    <w:rsid w:val="6FFF4766"/>
    <w:rsid w:val="713B6657"/>
    <w:rsid w:val="71A81C56"/>
    <w:rsid w:val="71E11004"/>
    <w:rsid w:val="71F75ACA"/>
    <w:rsid w:val="72271B23"/>
    <w:rsid w:val="72C963D7"/>
    <w:rsid w:val="73E334C8"/>
    <w:rsid w:val="74B06CDC"/>
    <w:rsid w:val="74D66FA9"/>
    <w:rsid w:val="74F9412F"/>
    <w:rsid w:val="76EB3AE6"/>
    <w:rsid w:val="770C53F9"/>
    <w:rsid w:val="785D2B7E"/>
    <w:rsid w:val="7A057459"/>
    <w:rsid w:val="7A536C13"/>
    <w:rsid w:val="7AC97FC1"/>
    <w:rsid w:val="7B2A132F"/>
    <w:rsid w:val="7B7470FC"/>
    <w:rsid w:val="7B95779E"/>
    <w:rsid w:val="7B9A4B47"/>
    <w:rsid w:val="7C5876A4"/>
    <w:rsid w:val="7C617DD8"/>
    <w:rsid w:val="7D057D79"/>
    <w:rsid w:val="7F5606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7"/>
    <w:unhideWhenUsed/>
    <w:qFormat/>
    <w:uiPriority w:val="99"/>
    <w:pPr>
      <w:jc w:val="left"/>
    </w:pPr>
  </w:style>
  <w:style w:type="paragraph" w:styleId="6">
    <w:name w:val="Plain Text"/>
    <w:basedOn w:val="1"/>
    <w:unhideWhenUsed/>
    <w:qFormat/>
    <w:uiPriority w:val="99"/>
    <w:rPr>
      <w:rFonts w:ascii="宋体" w:hAnsi="Courier New" w:cs="Courier New"/>
      <w:szCs w:val="21"/>
    </w:rPr>
  </w:style>
  <w:style w:type="paragraph" w:styleId="7">
    <w:name w:val="Balloon Text"/>
    <w:basedOn w:val="1"/>
    <w:link w:val="18"/>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1"/>
    <w:unhideWhenUsed/>
    <w:qFormat/>
    <w:uiPriority w:val="99"/>
    <w:rPr>
      <w:b/>
      <w:bCs/>
    </w:rPr>
  </w:style>
  <w:style w:type="table" w:styleId="12">
    <w:name w:val="Table Grid"/>
    <w:basedOn w:val="11"/>
    <w:qFormat/>
    <w:uiPriority w:val="3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line number"/>
    <w:unhideWhenUsed/>
    <w:qFormat/>
    <w:uiPriority w:val="99"/>
  </w:style>
  <w:style w:type="character" w:styleId="15">
    <w:name w:val="annotation reference"/>
    <w:unhideWhenUsed/>
    <w:qFormat/>
    <w:uiPriority w:val="99"/>
    <w:rPr>
      <w:sz w:val="21"/>
      <w:szCs w:val="21"/>
    </w:rPr>
  </w:style>
  <w:style w:type="character" w:customStyle="1" w:styleId="16">
    <w:name w:val="标题 3 字符"/>
    <w:link w:val="4"/>
    <w:qFormat/>
    <w:uiPriority w:val="9"/>
    <w:rPr>
      <w:rFonts w:ascii="宋体" w:hAnsi="宋体" w:cs="宋体"/>
      <w:b/>
      <w:bCs/>
      <w:sz w:val="27"/>
      <w:szCs w:val="27"/>
    </w:rPr>
  </w:style>
  <w:style w:type="character" w:customStyle="1" w:styleId="17">
    <w:name w:val="批注文字 字符"/>
    <w:link w:val="5"/>
    <w:qFormat/>
    <w:uiPriority w:val="99"/>
    <w:rPr>
      <w:rFonts w:ascii="Calibri" w:hAnsi="Calibri"/>
      <w:kern w:val="2"/>
      <w:sz w:val="21"/>
      <w:szCs w:val="22"/>
    </w:rPr>
  </w:style>
  <w:style w:type="character" w:customStyle="1" w:styleId="18">
    <w:name w:val="批注框文本 字符"/>
    <w:link w:val="7"/>
    <w:semiHidden/>
    <w:qFormat/>
    <w:uiPriority w:val="99"/>
    <w:rPr>
      <w:rFonts w:ascii="Calibri" w:hAnsi="Calibri"/>
      <w:kern w:val="2"/>
      <w:sz w:val="18"/>
      <w:szCs w:val="18"/>
    </w:rPr>
  </w:style>
  <w:style w:type="character" w:customStyle="1" w:styleId="19">
    <w:name w:val="页脚 字符"/>
    <w:link w:val="8"/>
    <w:qFormat/>
    <w:uiPriority w:val="99"/>
    <w:rPr>
      <w:rFonts w:ascii="Calibri" w:hAnsi="Calibri"/>
      <w:kern w:val="2"/>
      <w:sz w:val="18"/>
      <w:szCs w:val="18"/>
    </w:rPr>
  </w:style>
  <w:style w:type="character" w:customStyle="1" w:styleId="20">
    <w:name w:val="页眉 字符"/>
    <w:link w:val="9"/>
    <w:semiHidden/>
    <w:qFormat/>
    <w:uiPriority w:val="99"/>
    <w:rPr>
      <w:rFonts w:ascii="Calibri" w:hAnsi="Calibri"/>
      <w:kern w:val="2"/>
      <w:sz w:val="18"/>
      <w:szCs w:val="18"/>
    </w:rPr>
  </w:style>
  <w:style w:type="character" w:customStyle="1" w:styleId="21">
    <w:name w:val="批注主题 字符"/>
    <w:link w:val="10"/>
    <w:semiHidden/>
    <w:qFormat/>
    <w:uiPriority w:val="99"/>
    <w:rPr>
      <w:rFonts w:ascii="Calibri" w:hAnsi="Calibri"/>
      <w:b/>
      <w:bCs/>
      <w:kern w:val="2"/>
      <w:sz w:val="21"/>
      <w:szCs w:val="22"/>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Style21"/>
    <w:basedOn w:val="1"/>
    <w:qFormat/>
    <w:uiPriority w:val="0"/>
    <w:pPr>
      <w:autoSpaceDE w:val="0"/>
      <w:autoSpaceDN w:val="0"/>
      <w:adjustRightInd w:val="0"/>
      <w:spacing w:line="259" w:lineRule="exact"/>
      <w:jc w:val="left"/>
    </w:pPr>
    <w:rPr>
      <w:rFonts w:ascii="Times New Roman" w:hAnsi="Times New Roman"/>
      <w:kern w:val="0"/>
      <w:sz w:val="24"/>
      <w:szCs w:val="24"/>
    </w:rPr>
  </w:style>
  <w:style w:type="paragraph" w:customStyle="1" w:styleId="24">
    <w:name w:val="Style30"/>
    <w:basedOn w:val="1"/>
    <w:qFormat/>
    <w:uiPriority w:val="0"/>
    <w:pPr>
      <w:autoSpaceDE w:val="0"/>
      <w:autoSpaceDN w:val="0"/>
      <w:adjustRightInd w:val="0"/>
      <w:jc w:val="left"/>
    </w:pPr>
    <w:rPr>
      <w:rFonts w:ascii="Times New Roman" w:hAnsi="Times New Roman"/>
      <w:kern w:val="0"/>
      <w:sz w:val="24"/>
      <w:szCs w:val="24"/>
    </w:rPr>
  </w:style>
  <w:style w:type="character" w:customStyle="1" w:styleId="25">
    <w:name w:val="Font Style41"/>
    <w:qFormat/>
    <w:uiPriority w:val="0"/>
    <w:rPr>
      <w:rFonts w:ascii="Times New Roman" w:hAnsi="Times New Roman" w:cs="Times New Roman"/>
      <w:sz w:val="20"/>
      <w:szCs w:val="20"/>
    </w:rPr>
  </w:style>
  <w:style w:type="character" w:customStyle="1" w:styleId="26">
    <w:name w:val="Font Style42"/>
    <w:qFormat/>
    <w:uiPriority w:val="0"/>
    <w:rPr>
      <w:rFonts w:ascii="Times New Roman" w:hAnsi="Times New Roman" w:cs="Times New Roman"/>
      <w:b/>
      <w:bCs/>
      <w:sz w:val="20"/>
      <w:szCs w:val="20"/>
    </w:rPr>
  </w:style>
  <w:style w:type="character" w:customStyle="1" w:styleId="27">
    <w:name w:val="Font Style47"/>
    <w:qFormat/>
    <w:uiPriority w:val="0"/>
    <w:rPr>
      <w:rFonts w:ascii="Times New Roman" w:hAnsi="Times New Roman" w:cs="Times New Roman"/>
      <w:sz w:val="22"/>
      <w:szCs w:val="22"/>
    </w:rPr>
  </w:style>
  <w:style w:type="paragraph" w:customStyle="1" w:styleId="28">
    <w:name w:val="Style15"/>
    <w:basedOn w:val="1"/>
    <w:qFormat/>
    <w:uiPriority w:val="0"/>
    <w:pPr>
      <w:autoSpaceDE w:val="0"/>
      <w:autoSpaceDN w:val="0"/>
      <w:adjustRightInd w:val="0"/>
      <w:spacing w:line="279" w:lineRule="exact"/>
      <w:jc w:val="left"/>
    </w:pPr>
    <w:rPr>
      <w:rFonts w:ascii="Times New Roman" w:hAnsi="Times New Roman"/>
      <w:kern w:val="0"/>
      <w:sz w:val="24"/>
      <w:szCs w:val="24"/>
    </w:rPr>
  </w:style>
  <w:style w:type="paragraph" w:customStyle="1" w:styleId="29">
    <w:name w:val="Style25"/>
    <w:basedOn w:val="1"/>
    <w:qFormat/>
    <w:uiPriority w:val="0"/>
    <w:pPr>
      <w:autoSpaceDE w:val="0"/>
      <w:autoSpaceDN w:val="0"/>
      <w:adjustRightInd w:val="0"/>
      <w:spacing w:line="278" w:lineRule="exact"/>
      <w:ind w:hanging="422"/>
      <w:jc w:val="left"/>
    </w:pPr>
    <w:rPr>
      <w:rFonts w:ascii="Times New Roman" w:hAnsi="Times New Roman"/>
      <w:kern w:val="0"/>
      <w:sz w:val="24"/>
      <w:szCs w:val="24"/>
    </w:rPr>
  </w:style>
  <w:style w:type="paragraph" w:customStyle="1" w:styleId="30">
    <w:name w:val="Style5"/>
    <w:basedOn w:val="1"/>
    <w:qFormat/>
    <w:uiPriority w:val="0"/>
    <w:pPr>
      <w:autoSpaceDE w:val="0"/>
      <w:autoSpaceDN w:val="0"/>
      <w:adjustRightInd w:val="0"/>
      <w:spacing w:line="278" w:lineRule="exact"/>
    </w:pPr>
    <w:rPr>
      <w:rFonts w:ascii="Times New Roman" w:hAnsi="Times New Roman"/>
      <w:kern w:val="0"/>
      <w:sz w:val="24"/>
      <w:szCs w:val="24"/>
    </w:rPr>
  </w:style>
  <w:style w:type="paragraph" w:customStyle="1" w:styleId="31">
    <w:name w:val="Style8"/>
    <w:basedOn w:val="1"/>
    <w:qFormat/>
    <w:uiPriority w:val="0"/>
    <w:pPr>
      <w:autoSpaceDE w:val="0"/>
      <w:autoSpaceDN w:val="0"/>
      <w:adjustRightInd w:val="0"/>
      <w:spacing w:line="278" w:lineRule="exact"/>
      <w:jc w:val="right"/>
    </w:pPr>
    <w:rPr>
      <w:rFonts w:ascii="Times New Roman" w:hAnsi="Times New Roman"/>
      <w:kern w:val="0"/>
      <w:sz w:val="24"/>
      <w:szCs w:val="24"/>
    </w:rPr>
  </w:style>
  <w:style w:type="paragraph" w:customStyle="1" w:styleId="32">
    <w:name w:val="Style12"/>
    <w:basedOn w:val="1"/>
    <w:qFormat/>
    <w:uiPriority w:val="0"/>
    <w:pPr>
      <w:autoSpaceDE w:val="0"/>
      <w:autoSpaceDN w:val="0"/>
      <w:adjustRightInd w:val="0"/>
      <w:jc w:val="left"/>
    </w:pPr>
    <w:rPr>
      <w:rFonts w:ascii="Times New Roman" w:hAnsi="Times New Roman"/>
      <w:kern w:val="0"/>
      <w:sz w:val="24"/>
      <w:szCs w:val="24"/>
    </w:rPr>
  </w:style>
  <w:style w:type="paragraph" w:customStyle="1" w:styleId="33">
    <w:name w:val="Style19"/>
    <w:basedOn w:val="1"/>
    <w:qFormat/>
    <w:uiPriority w:val="0"/>
    <w:pPr>
      <w:autoSpaceDE w:val="0"/>
      <w:autoSpaceDN w:val="0"/>
      <w:adjustRightInd w:val="0"/>
      <w:jc w:val="left"/>
    </w:pPr>
    <w:rPr>
      <w:rFonts w:ascii="Times New Roman" w:hAnsi="Times New Roman"/>
      <w:kern w:val="0"/>
      <w:sz w:val="24"/>
      <w:szCs w:val="24"/>
    </w:rPr>
  </w:style>
  <w:style w:type="paragraph" w:customStyle="1" w:styleId="34">
    <w:name w:val="Style22"/>
    <w:basedOn w:val="1"/>
    <w:qFormat/>
    <w:uiPriority w:val="0"/>
    <w:pPr>
      <w:autoSpaceDE w:val="0"/>
      <w:autoSpaceDN w:val="0"/>
      <w:adjustRightInd w:val="0"/>
      <w:spacing w:line="278" w:lineRule="exact"/>
      <w:ind w:hanging="494"/>
      <w:jc w:val="left"/>
    </w:pPr>
    <w:rPr>
      <w:rFonts w:ascii="Times New Roman" w:hAnsi="Times New Roman"/>
      <w:kern w:val="0"/>
      <w:sz w:val="24"/>
      <w:szCs w:val="24"/>
    </w:rPr>
  </w:style>
  <w:style w:type="paragraph" w:customStyle="1" w:styleId="35">
    <w:name w:val="Style32"/>
    <w:basedOn w:val="1"/>
    <w:qFormat/>
    <w:uiPriority w:val="0"/>
    <w:pPr>
      <w:autoSpaceDE w:val="0"/>
      <w:autoSpaceDN w:val="0"/>
      <w:adjustRightInd w:val="0"/>
      <w:spacing w:line="398" w:lineRule="exact"/>
      <w:ind w:hanging="413"/>
      <w:jc w:val="left"/>
    </w:pPr>
    <w:rPr>
      <w:rFonts w:ascii="Times New Roman" w:hAnsi="Times New Roman"/>
      <w:kern w:val="0"/>
      <w:sz w:val="24"/>
      <w:szCs w:val="24"/>
    </w:rPr>
  </w:style>
  <w:style w:type="paragraph" w:customStyle="1" w:styleId="36">
    <w:name w:val="Style34"/>
    <w:basedOn w:val="1"/>
    <w:qFormat/>
    <w:uiPriority w:val="0"/>
    <w:pPr>
      <w:autoSpaceDE w:val="0"/>
      <w:autoSpaceDN w:val="0"/>
      <w:adjustRightInd w:val="0"/>
      <w:jc w:val="left"/>
    </w:pPr>
    <w:rPr>
      <w:rFonts w:ascii="Times New Roman" w:hAnsi="Times New Roman"/>
      <w:kern w:val="0"/>
      <w:sz w:val="24"/>
      <w:szCs w:val="24"/>
    </w:rPr>
  </w:style>
  <w:style w:type="character" w:customStyle="1" w:styleId="37">
    <w:name w:val="Font Style48"/>
    <w:qFormat/>
    <w:uiPriority w:val="0"/>
    <w:rPr>
      <w:rFonts w:ascii="Times New Roman" w:hAnsi="Times New Roman" w:cs="Times New Roman"/>
      <w:b/>
      <w:bCs/>
      <w:i/>
      <w:iCs/>
      <w:sz w:val="22"/>
      <w:szCs w:val="22"/>
    </w:rPr>
  </w:style>
  <w:style w:type="paragraph" w:customStyle="1" w:styleId="38">
    <w:name w:val="修订1"/>
    <w:unhideWhenUsed/>
    <w:qFormat/>
    <w:uiPriority w:val="99"/>
    <w:rPr>
      <w:rFonts w:ascii="Calibri" w:hAnsi="Calibri" w:eastAsia="宋体" w:cs="Times New Roman"/>
      <w:kern w:val="2"/>
      <w:sz w:val="21"/>
      <w:szCs w:val="22"/>
      <w:lang w:val="en-US" w:eastAsia="zh-CN" w:bidi="ar-SA"/>
    </w:rPr>
  </w:style>
  <w:style w:type="paragraph" w:styleId="39">
    <w:name w:val="List Paragraph"/>
    <w:basedOn w:val="1"/>
    <w:qFormat/>
    <w:uiPriority w:val="34"/>
    <w:pPr>
      <w:ind w:firstLine="420" w:firstLineChars="200"/>
    </w:pPr>
    <w:rPr>
      <w:rFonts w:ascii="等线" w:hAnsi="等线" w:eastAsia="等线"/>
    </w:rPr>
  </w:style>
  <w:style w:type="character" w:customStyle="1" w:styleId="40">
    <w:name w:val="font211"/>
    <w:qFormat/>
    <w:uiPriority w:val="0"/>
    <w:rPr>
      <w:rFonts w:hint="eastAsia" w:ascii="宋体" w:hAnsi="宋体" w:eastAsia="宋体" w:cs="宋体"/>
      <w:color w:val="FF0000"/>
      <w:sz w:val="24"/>
      <w:szCs w:val="24"/>
      <w:u w:val="none"/>
    </w:rPr>
  </w:style>
  <w:style w:type="paragraph" w:customStyle="1" w:styleId="41">
    <w:name w:val="列出段落1"/>
    <w:basedOn w:val="1"/>
    <w:qFormat/>
    <w:uiPriority w:val="34"/>
    <w:pPr>
      <w:spacing w:after="15" w:line="600" w:lineRule="exact"/>
      <w:ind w:firstLine="420" w:firstLineChars="200"/>
    </w:pPr>
  </w:style>
  <w:style w:type="paragraph" w:customStyle="1" w:styleId="42">
    <w:name w:val="修订2"/>
    <w:hidden/>
    <w:semiHidden/>
    <w:qFormat/>
    <w:uiPriority w:val="99"/>
    <w:rPr>
      <w:rFonts w:ascii="Calibri" w:hAnsi="Calibri" w:eastAsia="宋体" w:cs="Times New Roman"/>
      <w:kern w:val="2"/>
      <w:sz w:val="21"/>
      <w:szCs w:val="22"/>
      <w:lang w:val="en-US" w:eastAsia="zh-CN" w:bidi="ar-SA"/>
    </w:rPr>
  </w:style>
  <w:style w:type="paragraph" w:customStyle="1" w:styleId="43">
    <w:name w:val="修订3"/>
    <w:hidden/>
    <w:semiHidden/>
    <w:qFormat/>
    <w:uiPriority w:val="99"/>
    <w:rPr>
      <w:rFonts w:ascii="Calibri" w:hAnsi="Calibri" w:eastAsia="宋体" w:cs="Times New Roman"/>
      <w:kern w:val="2"/>
      <w:sz w:val="21"/>
      <w:szCs w:val="22"/>
      <w:lang w:val="en-US" w:eastAsia="zh-CN" w:bidi="ar-SA"/>
    </w:rPr>
  </w:style>
  <w:style w:type="paragraph" w:customStyle="1" w:styleId="44">
    <w:name w:val="修订4"/>
    <w:hidden/>
    <w:semiHidden/>
    <w:qFormat/>
    <w:uiPriority w:val="99"/>
    <w:rPr>
      <w:rFonts w:ascii="Calibri" w:hAnsi="Calibri" w:eastAsia="宋体" w:cs="Times New Roman"/>
      <w:kern w:val="2"/>
      <w:sz w:val="21"/>
      <w:szCs w:val="22"/>
      <w:lang w:val="en-US" w:eastAsia="zh-CN" w:bidi="ar-SA"/>
    </w:rPr>
  </w:style>
  <w:style w:type="paragraph" w:customStyle="1" w:styleId="45">
    <w:name w:val="修订5"/>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DD464-C594-4DE1-988B-764CBA9CEAB8}">
  <ds:schemaRefs/>
</ds:datastoreItem>
</file>

<file path=docProps/app.xml><?xml version="1.0" encoding="utf-8"?>
<Properties xmlns="http://schemas.openxmlformats.org/officeDocument/2006/extended-properties" xmlns:vt="http://schemas.openxmlformats.org/officeDocument/2006/docPropsVTypes">
  <Template>Normal</Template>
  <Company>sda</Company>
  <Pages>36</Pages>
  <Words>3707</Words>
  <Characters>3853</Characters>
  <Lines>137</Lines>
  <Paragraphs>38</Paragraphs>
  <TotalTime>27</TotalTime>
  <ScaleCrop>false</ScaleCrop>
  <LinksUpToDate>false</LinksUpToDate>
  <CharactersWithSpaces>3858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2024-09-05T07:49:00Z</dcterms:created>
  <dc:creator>仇津海</dc:creator>
  <cp:lastModifiedBy>Blank  Space</cp:lastModifiedBy>
  <dcterms:modified xsi:type="dcterms:W3CDTF">2024-11-04T05:47:45Z</dcterms:modified>
  <dc:title>附件2：</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0BC5E34457224359B2F6778A4DE6570D_13</vt:lpwstr>
  </property>
</Properties>
</file>